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54CC" w:rsidRDefault="004A54CC">
      <w:pPr>
        <w:pStyle w:val="Corpsdetexte"/>
        <w:spacing w:before="80"/>
        <w:rPr>
          <w:sz w:val="32"/>
        </w:rPr>
      </w:pPr>
    </w:p>
    <w:p w:rsidR="00E05EE5" w:rsidRDefault="00E05EE5" w:rsidP="00E05EE5">
      <w:pPr>
        <w:spacing w:line="360" w:lineRule="auto"/>
        <w:jc w:val="center"/>
        <w:rPr>
          <w:rFonts w:asciiTheme="majorBidi" w:eastAsia="Calibri" w:hAnsiTheme="majorBidi" w:cstheme="majorBidi"/>
          <w:b/>
          <w:bCs/>
          <w:sz w:val="32"/>
          <w:szCs w:val="24"/>
        </w:rPr>
      </w:pPr>
      <w:r w:rsidRPr="00E05EE5">
        <w:rPr>
          <w:rFonts w:asciiTheme="majorBidi" w:eastAsia="Calibri" w:hAnsiTheme="majorBidi" w:cstheme="majorBidi"/>
          <w:b/>
          <w:bCs/>
          <w:sz w:val="32"/>
          <w:szCs w:val="24"/>
        </w:rPr>
        <w:t xml:space="preserve">Environmental Transparency and Corporate Tax </w:t>
      </w:r>
      <w:proofErr w:type="gramStart"/>
      <w:r w:rsidRPr="00E05EE5">
        <w:rPr>
          <w:rFonts w:asciiTheme="majorBidi" w:eastAsia="Calibri" w:hAnsiTheme="majorBidi" w:cstheme="majorBidi"/>
          <w:b/>
          <w:bCs/>
          <w:sz w:val="32"/>
          <w:szCs w:val="24"/>
        </w:rPr>
        <w:t>Behavior:</w:t>
      </w:r>
      <w:proofErr w:type="gramEnd"/>
    </w:p>
    <w:p w:rsidR="00E05EE5" w:rsidRPr="00E05EE5" w:rsidRDefault="00E05EE5" w:rsidP="00E05EE5">
      <w:pPr>
        <w:spacing w:line="360" w:lineRule="auto"/>
        <w:jc w:val="center"/>
        <w:rPr>
          <w:rFonts w:asciiTheme="majorBidi" w:eastAsia="Calibri" w:hAnsiTheme="majorBidi" w:cstheme="majorBidi"/>
          <w:b/>
          <w:bCs/>
          <w:sz w:val="32"/>
          <w:szCs w:val="24"/>
        </w:rPr>
      </w:pPr>
      <w:r w:rsidRPr="00E05EE5">
        <w:rPr>
          <w:rFonts w:asciiTheme="majorBidi" w:eastAsia="Calibri" w:hAnsiTheme="majorBidi" w:cstheme="majorBidi"/>
          <w:b/>
          <w:bCs/>
          <w:sz w:val="32"/>
          <w:szCs w:val="24"/>
        </w:rPr>
        <w:t>Evidence from European Firms</w:t>
      </w:r>
    </w:p>
    <w:p w:rsidR="004A54CC" w:rsidRDefault="004A54CC">
      <w:pPr>
        <w:pStyle w:val="Corpsdetexte"/>
        <w:spacing w:before="340"/>
        <w:rPr>
          <w:b/>
          <w:sz w:val="32"/>
        </w:rPr>
      </w:pPr>
    </w:p>
    <w:p w:rsidR="004A54CC" w:rsidRDefault="00E503AE" w:rsidP="00FD1386">
      <w:pPr>
        <w:pStyle w:val="Titre1"/>
        <w:ind w:left="3825"/>
      </w:pPr>
      <w:r>
        <w:t>R</w:t>
      </w:r>
      <w:r w:rsidR="00787964">
        <w:t>oua</w:t>
      </w:r>
      <w:r>
        <w:t xml:space="preserve"> </w:t>
      </w:r>
      <w:r w:rsidR="00787964">
        <w:t>ARDHAOUI</w:t>
      </w:r>
    </w:p>
    <w:p w:rsidR="004A54CC" w:rsidRDefault="00610C11" w:rsidP="00FD1386">
      <w:pPr>
        <w:spacing w:before="123" w:line="360" w:lineRule="auto"/>
        <w:ind w:left="3758" w:right="1598" w:firstLine="4"/>
      </w:pPr>
      <w:r>
        <w:t>Faculté</w:t>
      </w:r>
      <w:r>
        <w:rPr>
          <w:spacing w:val="-7"/>
        </w:rPr>
        <w:t xml:space="preserve"> </w:t>
      </w:r>
      <w:r>
        <w:t>de</w:t>
      </w:r>
      <w:r>
        <w:rPr>
          <w:spacing w:val="-6"/>
        </w:rPr>
        <w:t xml:space="preserve"> </w:t>
      </w:r>
      <w:r>
        <w:t>science</w:t>
      </w:r>
      <w:r>
        <w:rPr>
          <w:spacing w:val="-6"/>
        </w:rPr>
        <w:t xml:space="preserve"> </w:t>
      </w:r>
      <w:r>
        <w:t>économique</w:t>
      </w:r>
      <w:r>
        <w:rPr>
          <w:spacing w:val="-6"/>
        </w:rPr>
        <w:t xml:space="preserve"> </w:t>
      </w:r>
      <w:r>
        <w:t>et</w:t>
      </w:r>
      <w:r>
        <w:rPr>
          <w:spacing w:val="-6"/>
        </w:rPr>
        <w:t xml:space="preserve"> </w:t>
      </w:r>
      <w:r>
        <w:t>gestion</w:t>
      </w:r>
      <w:r>
        <w:rPr>
          <w:spacing w:val="-6"/>
        </w:rPr>
        <w:t xml:space="preserve"> </w:t>
      </w:r>
      <w:r>
        <w:t xml:space="preserve">Sfax, </w:t>
      </w:r>
      <w:bookmarkStart w:id="0" w:name="_GoBack"/>
      <w:bookmarkEnd w:id="0"/>
      <w:r>
        <w:t>Université de Sfax, Tunisie</w:t>
      </w:r>
    </w:p>
    <w:p w:rsidR="004A54CC" w:rsidRDefault="00610C11" w:rsidP="00FD1386">
      <w:pPr>
        <w:spacing w:line="274" w:lineRule="exact"/>
        <w:ind w:left="3727"/>
      </w:pPr>
      <w:r>
        <w:rPr>
          <w:sz w:val="24"/>
        </w:rPr>
        <w:t>Laboratoire</w:t>
      </w:r>
      <w:r>
        <w:rPr>
          <w:spacing w:val="-13"/>
          <w:sz w:val="24"/>
        </w:rPr>
        <w:t xml:space="preserve"> </w:t>
      </w:r>
      <w:r w:rsidR="006F19D6">
        <w:rPr>
          <w:spacing w:val="-2"/>
        </w:rPr>
        <w:t>LAMEF</w:t>
      </w:r>
    </w:p>
    <w:p w:rsidR="00FD798C" w:rsidRPr="00E942CD" w:rsidRDefault="00A45EC9" w:rsidP="00FD1386">
      <w:pPr>
        <w:spacing w:before="139"/>
        <w:ind w:left="3713"/>
        <w:rPr>
          <w:rFonts w:ascii="Calibri"/>
          <w:b/>
          <w:spacing w:val="-2"/>
        </w:rPr>
      </w:pPr>
      <w:hyperlink r:id="rId7">
        <w:r w:rsidR="00FD798C">
          <w:rPr>
            <w:rFonts w:ascii="Calibri"/>
            <w:b/>
            <w:spacing w:val="-2"/>
          </w:rPr>
          <w:t>roua</w:t>
        </w:r>
      </w:hyperlink>
      <w:r w:rsidR="00FD798C">
        <w:rPr>
          <w:rFonts w:ascii="Calibri"/>
          <w:b/>
        </w:rPr>
        <w:t>.ardhaoui5@gmail.com</w:t>
      </w:r>
    </w:p>
    <w:p w:rsidR="004A54CC" w:rsidRDefault="00E942CD" w:rsidP="00FD1386">
      <w:pPr>
        <w:pStyle w:val="Titre1"/>
        <w:spacing w:before="254"/>
        <w:ind w:left="3727"/>
      </w:pPr>
      <w:r>
        <w:t>A</w:t>
      </w:r>
      <w:r w:rsidR="00787964">
        <w:t xml:space="preserve">nis </w:t>
      </w:r>
      <w:r w:rsidR="00787964">
        <w:rPr>
          <w:spacing w:val="-2"/>
        </w:rPr>
        <w:t>BEN AMAR</w:t>
      </w:r>
    </w:p>
    <w:p w:rsidR="004A54CC" w:rsidRDefault="001C6E6A" w:rsidP="00FD1386">
      <w:pPr>
        <w:spacing w:before="122" w:line="360" w:lineRule="auto"/>
        <w:ind w:left="3758" w:right="1598" w:hanging="24"/>
      </w:pPr>
      <w:r>
        <w:t>École supérieure de commerce de Sfax</w:t>
      </w:r>
      <w:r w:rsidR="00610C11">
        <w:t>, Université de Sfax, Tunisie</w:t>
      </w:r>
    </w:p>
    <w:p w:rsidR="00FD1386" w:rsidRDefault="00610C11" w:rsidP="00FD1386">
      <w:pPr>
        <w:spacing w:line="274" w:lineRule="exact"/>
        <w:ind w:left="3667"/>
        <w:rPr>
          <w:spacing w:val="-2"/>
        </w:rPr>
      </w:pPr>
      <w:r>
        <w:rPr>
          <w:sz w:val="24"/>
        </w:rPr>
        <w:t>Laboratoire</w:t>
      </w:r>
      <w:r>
        <w:rPr>
          <w:spacing w:val="-11"/>
          <w:sz w:val="24"/>
        </w:rPr>
        <w:t xml:space="preserve"> </w:t>
      </w:r>
      <w:r w:rsidR="001C6E6A">
        <w:rPr>
          <w:spacing w:val="-2"/>
        </w:rPr>
        <w:t>LAMEF</w:t>
      </w:r>
    </w:p>
    <w:p w:rsidR="00FD1386" w:rsidRPr="00FD1386" w:rsidRDefault="00FD1386" w:rsidP="00FD1386">
      <w:pPr>
        <w:spacing w:before="140" w:line="274" w:lineRule="exact"/>
        <w:ind w:left="3667"/>
      </w:pPr>
      <w:r w:rsidRPr="00FD1386">
        <w:rPr>
          <w:b/>
          <w:bCs/>
        </w:rPr>
        <w:t>anisbenamar44@yahoo.fr</w:t>
      </w:r>
    </w:p>
    <w:p w:rsidR="004A54CC" w:rsidRDefault="004A54CC" w:rsidP="00FD1386">
      <w:pPr>
        <w:pStyle w:val="Corpsdetexte"/>
        <w:jc w:val="center"/>
        <w:rPr>
          <w:b/>
        </w:rPr>
      </w:pPr>
    </w:p>
    <w:p w:rsidR="004A54CC" w:rsidRDefault="004A54CC">
      <w:pPr>
        <w:pStyle w:val="Corpsdetexte"/>
        <w:rPr>
          <w:b/>
        </w:rPr>
      </w:pPr>
    </w:p>
    <w:p w:rsidR="004A54CC" w:rsidRDefault="004A54CC">
      <w:pPr>
        <w:pStyle w:val="Corpsdetexte"/>
        <w:rPr>
          <w:b/>
        </w:rPr>
      </w:pPr>
    </w:p>
    <w:p w:rsidR="004A54CC" w:rsidRDefault="004A54CC">
      <w:pPr>
        <w:pStyle w:val="Corpsdetexte"/>
        <w:rPr>
          <w:b/>
        </w:rPr>
      </w:pPr>
    </w:p>
    <w:p w:rsidR="004A54CC" w:rsidRDefault="004A54CC">
      <w:pPr>
        <w:pStyle w:val="Corpsdetexte"/>
        <w:rPr>
          <w:b/>
        </w:rPr>
      </w:pPr>
    </w:p>
    <w:p w:rsidR="004A54CC" w:rsidRDefault="004A54CC">
      <w:pPr>
        <w:pStyle w:val="Corpsdetexte"/>
        <w:rPr>
          <w:b/>
        </w:rPr>
      </w:pPr>
    </w:p>
    <w:p w:rsidR="004A54CC" w:rsidRDefault="004A54CC">
      <w:pPr>
        <w:pStyle w:val="Corpsdetexte"/>
        <w:rPr>
          <w:b/>
        </w:rPr>
      </w:pPr>
    </w:p>
    <w:p w:rsidR="004A54CC" w:rsidRDefault="004A54CC">
      <w:pPr>
        <w:pStyle w:val="Corpsdetexte"/>
        <w:rPr>
          <w:b/>
        </w:rPr>
      </w:pPr>
    </w:p>
    <w:p w:rsidR="004A54CC" w:rsidRDefault="004A54CC">
      <w:pPr>
        <w:pStyle w:val="Corpsdetexte"/>
        <w:spacing w:before="2"/>
        <w:rPr>
          <w:b/>
        </w:rPr>
      </w:pPr>
    </w:p>
    <w:p w:rsidR="004A54CC" w:rsidRDefault="00610C11">
      <w:pPr>
        <w:ind w:left="426"/>
        <w:rPr>
          <w:sz w:val="20"/>
        </w:rPr>
      </w:pPr>
      <w:r>
        <w:rPr>
          <w:b/>
          <w:sz w:val="20"/>
        </w:rPr>
        <w:t>Date</w:t>
      </w:r>
      <w:r>
        <w:rPr>
          <w:b/>
          <w:spacing w:val="-4"/>
          <w:sz w:val="20"/>
        </w:rPr>
        <w:t xml:space="preserve"> </w:t>
      </w:r>
      <w:r>
        <w:rPr>
          <w:b/>
          <w:sz w:val="20"/>
        </w:rPr>
        <w:t>de</w:t>
      </w:r>
      <w:r>
        <w:rPr>
          <w:b/>
          <w:spacing w:val="-4"/>
          <w:sz w:val="20"/>
        </w:rPr>
        <w:t xml:space="preserve"> </w:t>
      </w:r>
      <w:r>
        <w:rPr>
          <w:b/>
          <w:sz w:val="20"/>
        </w:rPr>
        <w:t>soumission</w:t>
      </w:r>
      <w:r>
        <w:rPr>
          <w:b/>
          <w:spacing w:val="-4"/>
          <w:sz w:val="20"/>
        </w:rPr>
        <w:t xml:space="preserve"> </w:t>
      </w:r>
      <w:r>
        <w:rPr>
          <w:sz w:val="20"/>
        </w:rPr>
        <w:t>:</w:t>
      </w:r>
      <w:r>
        <w:rPr>
          <w:spacing w:val="-4"/>
          <w:sz w:val="20"/>
        </w:rPr>
        <w:t xml:space="preserve"> </w:t>
      </w:r>
    </w:p>
    <w:p w:rsidR="004A54CC" w:rsidRDefault="00610C11">
      <w:pPr>
        <w:spacing w:before="116"/>
        <w:ind w:left="426"/>
        <w:rPr>
          <w:sz w:val="20"/>
        </w:rPr>
      </w:pPr>
      <w:r>
        <w:rPr>
          <w:b/>
          <w:sz w:val="20"/>
        </w:rPr>
        <w:t>Date</w:t>
      </w:r>
      <w:r>
        <w:rPr>
          <w:b/>
          <w:spacing w:val="-7"/>
          <w:sz w:val="20"/>
        </w:rPr>
        <w:t xml:space="preserve"> </w:t>
      </w:r>
      <w:r>
        <w:rPr>
          <w:b/>
          <w:sz w:val="20"/>
        </w:rPr>
        <w:t>d’acceptation</w:t>
      </w:r>
      <w:r>
        <w:rPr>
          <w:b/>
          <w:spacing w:val="-5"/>
          <w:sz w:val="20"/>
        </w:rPr>
        <w:t xml:space="preserve"> </w:t>
      </w:r>
      <w:r>
        <w:rPr>
          <w:spacing w:val="-10"/>
          <w:sz w:val="20"/>
        </w:rPr>
        <w:t>:</w:t>
      </w:r>
    </w:p>
    <w:p w:rsidR="004A54CC" w:rsidRDefault="00610C11">
      <w:pPr>
        <w:spacing w:before="115"/>
        <w:ind w:left="426"/>
        <w:rPr>
          <w:sz w:val="20"/>
        </w:rPr>
      </w:pPr>
      <w:r>
        <w:rPr>
          <w:b/>
          <w:sz w:val="20"/>
        </w:rPr>
        <w:t>Pour</w:t>
      </w:r>
      <w:r>
        <w:rPr>
          <w:b/>
          <w:spacing w:val="-4"/>
          <w:sz w:val="20"/>
        </w:rPr>
        <w:t xml:space="preserve"> </w:t>
      </w:r>
      <w:r>
        <w:rPr>
          <w:b/>
          <w:sz w:val="20"/>
        </w:rPr>
        <w:t>citer</w:t>
      </w:r>
      <w:r>
        <w:rPr>
          <w:b/>
          <w:spacing w:val="-4"/>
          <w:sz w:val="20"/>
        </w:rPr>
        <w:t xml:space="preserve"> </w:t>
      </w:r>
      <w:r>
        <w:rPr>
          <w:b/>
          <w:sz w:val="20"/>
        </w:rPr>
        <w:t>cet</w:t>
      </w:r>
      <w:r>
        <w:rPr>
          <w:b/>
          <w:spacing w:val="-4"/>
          <w:sz w:val="20"/>
        </w:rPr>
        <w:t xml:space="preserve"> </w:t>
      </w:r>
      <w:r>
        <w:rPr>
          <w:b/>
          <w:sz w:val="20"/>
        </w:rPr>
        <w:t>article</w:t>
      </w:r>
      <w:r>
        <w:rPr>
          <w:b/>
          <w:spacing w:val="-1"/>
          <w:sz w:val="20"/>
        </w:rPr>
        <w:t xml:space="preserve"> </w:t>
      </w:r>
      <w:r>
        <w:rPr>
          <w:spacing w:val="-10"/>
          <w:sz w:val="20"/>
        </w:rPr>
        <w:t>:</w:t>
      </w:r>
    </w:p>
    <w:p w:rsidR="00A2383C" w:rsidRDefault="00610C11" w:rsidP="00A2383C">
      <w:pPr>
        <w:spacing w:before="114" w:line="350" w:lineRule="auto"/>
        <w:ind w:left="426" w:right="850"/>
        <w:rPr>
          <w:b/>
        </w:rPr>
      </w:pPr>
      <w:r w:rsidRPr="00610C11">
        <w:rPr>
          <w:bCs/>
        </w:rPr>
        <w:t>Ardhaoui</w:t>
      </w:r>
      <w:r w:rsidR="00A2383C">
        <w:rPr>
          <w:bCs/>
        </w:rPr>
        <w:t>,</w:t>
      </w:r>
      <w:r w:rsidRPr="00610C11">
        <w:rPr>
          <w:bCs/>
        </w:rPr>
        <w:t xml:space="preserve"> R</w:t>
      </w:r>
      <w:r w:rsidR="00A2383C">
        <w:rPr>
          <w:bCs/>
        </w:rPr>
        <w:t>.</w:t>
      </w:r>
      <w:r w:rsidRPr="00610C11">
        <w:rPr>
          <w:bCs/>
        </w:rPr>
        <w:t xml:space="preserve">, </w:t>
      </w:r>
      <w:r w:rsidR="00A2383C">
        <w:rPr>
          <w:bCs/>
        </w:rPr>
        <w:t>&amp;</w:t>
      </w:r>
      <w:r w:rsidRPr="00610C11">
        <w:rPr>
          <w:bCs/>
        </w:rPr>
        <w:t>Ben Amar</w:t>
      </w:r>
      <w:r w:rsidR="00A2383C">
        <w:rPr>
          <w:bCs/>
        </w:rPr>
        <w:t>,</w:t>
      </w:r>
      <w:r w:rsidRPr="00610C11">
        <w:rPr>
          <w:bCs/>
        </w:rPr>
        <w:t xml:space="preserve"> A</w:t>
      </w:r>
      <w:r w:rsidR="00A2383C">
        <w:rPr>
          <w:bCs/>
        </w:rPr>
        <w:t>.</w:t>
      </w:r>
      <w:r w:rsidRPr="00610C11">
        <w:rPr>
          <w:bCs/>
        </w:rPr>
        <w:t xml:space="preserve"> (2024)</w:t>
      </w:r>
      <w:r w:rsidR="00A2383C">
        <w:rPr>
          <w:bCs/>
        </w:rPr>
        <w:t>. « </w:t>
      </w:r>
      <w:r w:rsidRPr="00610C11">
        <w:rPr>
          <w:bCs/>
        </w:rPr>
        <w:t xml:space="preserve">Environmental Transparency and Corporate Tax </w:t>
      </w:r>
      <w:proofErr w:type="gramStart"/>
      <w:r w:rsidRPr="00610C11">
        <w:rPr>
          <w:bCs/>
        </w:rPr>
        <w:t>Behavior:</w:t>
      </w:r>
      <w:proofErr w:type="gramEnd"/>
      <w:r w:rsidRPr="00610C11">
        <w:rPr>
          <w:bCs/>
        </w:rPr>
        <w:t xml:space="preserve"> Evidence from European Firms</w:t>
      </w:r>
      <w:r w:rsidR="00A2383C">
        <w:rPr>
          <w:bCs/>
        </w:rPr>
        <w:t> »,</w:t>
      </w:r>
      <w:r w:rsidRPr="00610C11">
        <w:rPr>
          <w:bCs/>
        </w:rPr>
        <w:t xml:space="preserve"> </w:t>
      </w:r>
      <w:r w:rsidR="00A2383C">
        <w:rPr>
          <w:sz w:val="20"/>
        </w:rPr>
        <w:t>Revue Internationale Multidisciplinaire D’Economie et de Gestion d’Economie et  de Gestion «</w:t>
      </w:r>
      <w:r w:rsidR="00A2383C">
        <w:rPr>
          <w:rFonts w:ascii="Palatino Linotype" w:hAnsi="Palatino Linotype"/>
          <w:sz w:val="20"/>
        </w:rPr>
        <w:t>Volume 4 : Numéro 2</w:t>
      </w:r>
      <w:r w:rsidR="00A2383C">
        <w:rPr>
          <w:sz w:val="20"/>
        </w:rPr>
        <w:t>»</w:t>
      </w:r>
      <w:r w:rsidR="00B7219C">
        <w:rPr>
          <w:sz w:val="20"/>
        </w:rPr>
        <w:t>.</w:t>
      </w:r>
    </w:p>
    <w:p w:rsidR="004A54CC" w:rsidRPr="00A2383C" w:rsidRDefault="00610C11" w:rsidP="00A2383C">
      <w:pPr>
        <w:spacing w:before="114" w:line="350" w:lineRule="auto"/>
        <w:ind w:left="426" w:right="850"/>
        <w:rPr>
          <w:sz w:val="20"/>
        </w:rPr>
      </w:pPr>
      <w:r>
        <w:rPr>
          <w:b/>
        </w:rPr>
        <w:t>Digital Object Identifier (DOI</w:t>
      </w:r>
      <w:proofErr w:type="gramStart"/>
      <w:r>
        <w:rPr>
          <w:b/>
        </w:rPr>
        <w:t>):</w:t>
      </w:r>
      <w:proofErr w:type="gramEnd"/>
    </w:p>
    <w:p w:rsidR="004A54CC" w:rsidRDefault="00610C11">
      <w:pPr>
        <w:spacing w:before="11" w:line="360" w:lineRule="auto"/>
        <w:ind w:left="580" w:right="1016"/>
        <w:jc w:val="center"/>
        <w:rPr>
          <w:rFonts w:ascii="Calibri"/>
          <w:sz w:val="20"/>
        </w:rPr>
      </w:pPr>
      <w:r>
        <w:rPr>
          <w:rFonts w:ascii="Calibri"/>
          <w:noProof/>
          <w:sz w:val="20"/>
        </w:rPr>
        <w:drawing>
          <wp:anchor distT="0" distB="0" distL="0" distR="0" simplePos="0" relativeHeight="487587840" behindDoc="1" locked="0" layoutInCell="1" allowOverlap="1">
            <wp:simplePos x="0" y="0"/>
            <wp:positionH relativeFrom="page">
              <wp:posOffset>3408679</wp:posOffset>
            </wp:positionH>
            <wp:positionV relativeFrom="paragraph">
              <wp:posOffset>487312</wp:posOffset>
            </wp:positionV>
            <wp:extent cx="752475" cy="26670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752475" cy="266700"/>
                    </a:xfrm>
                    <a:prstGeom prst="rect">
                      <a:avLst/>
                    </a:prstGeom>
                  </pic:spPr>
                </pic:pic>
              </a:graphicData>
            </a:graphic>
          </wp:anchor>
        </w:drawing>
      </w:r>
      <w:r>
        <w:rPr>
          <w:rFonts w:ascii="Calibri"/>
          <w:sz w:val="20"/>
        </w:rPr>
        <w:t>Author(s)</w:t>
      </w:r>
      <w:r>
        <w:rPr>
          <w:rFonts w:ascii="Calibri"/>
          <w:spacing w:val="-4"/>
          <w:sz w:val="20"/>
        </w:rPr>
        <w:t xml:space="preserve"> </w:t>
      </w:r>
      <w:r>
        <w:rPr>
          <w:rFonts w:ascii="Calibri"/>
          <w:sz w:val="20"/>
        </w:rPr>
        <w:t>agree</w:t>
      </w:r>
      <w:r>
        <w:rPr>
          <w:rFonts w:ascii="Calibri"/>
          <w:spacing w:val="-4"/>
          <w:sz w:val="20"/>
        </w:rPr>
        <w:t xml:space="preserve"> </w:t>
      </w:r>
      <w:r>
        <w:rPr>
          <w:rFonts w:ascii="Calibri"/>
          <w:sz w:val="20"/>
        </w:rPr>
        <w:t>that</w:t>
      </w:r>
      <w:r>
        <w:rPr>
          <w:rFonts w:ascii="Calibri"/>
          <w:spacing w:val="-3"/>
          <w:sz w:val="20"/>
        </w:rPr>
        <w:t xml:space="preserve"> </w:t>
      </w:r>
      <w:r>
        <w:rPr>
          <w:rFonts w:ascii="Calibri"/>
          <w:sz w:val="20"/>
        </w:rPr>
        <w:t>this</w:t>
      </w:r>
      <w:r>
        <w:rPr>
          <w:rFonts w:ascii="Calibri"/>
          <w:spacing w:val="-3"/>
          <w:sz w:val="20"/>
        </w:rPr>
        <w:t xml:space="preserve"> </w:t>
      </w:r>
      <w:r>
        <w:rPr>
          <w:rFonts w:ascii="Calibri"/>
          <w:sz w:val="20"/>
        </w:rPr>
        <w:t>article</w:t>
      </w:r>
      <w:r>
        <w:rPr>
          <w:rFonts w:ascii="Calibri"/>
          <w:spacing w:val="-5"/>
          <w:sz w:val="20"/>
        </w:rPr>
        <w:t xml:space="preserve"> </w:t>
      </w:r>
      <w:r>
        <w:rPr>
          <w:rFonts w:ascii="Calibri"/>
          <w:sz w:val="20"/>
        </w:rPr>
        <w:t>remain</w:t>
      </w:r>
      <w:r>
        <w:rPr>
          <w:rFonts w:ascii="Calibri"/>
          <w:spacing w:val="-3"/>
          <w:sz w:val="20"/>
        </w:rPr>
        <w:t xml:space="preserve"> </w:t>
      </w:r>
      <w:r>
        <w:rPr>
          <w:rFonts w:ascii="Calibri"/>
          <w:sz w:val="20"/>
        </w:rPr>
        <w:t>permanently</w:t>
      </w:r>
      <w:r>
        <w:rPr>
          <w:rFonts w:ascii="Calibri"/>
          <w:spacing w:val="-3"/>
          <w:sz w:val="20"/>
        </w:rPr>
        <w:t xml:space="preserve"> </w:t>
      </w:r>
      <w:r>
        <w:rPr>
          <w:rFonts w:ascii="Calibri"/>
          <w:sz w:val="20"/>
        </w:rPr>
        <w:t>open</w:t>
      </w:r>
      <w:r>
        <w:rPr>
          <w:rFonts w:ascii="Calibri"/>
          <w:spacing w:val="-3"/>
          <w:sz w:val="20"/>
        </w:rPr>
        <w:t xml:space="preserve"> </w:t>
      </w:r>
      <w:r>
        <w:rPr>
          <w:rFonts w:ascii="Calibri"/>
          <w:sz w:val="20"/>
        </w:rPr>
        <w:t>access</w:t>
      </w:r>
      <w:r>
        <w:rPr>
          <w:rFonts w:ascii="Calibri"/>
          <w:spacing w:val="-3"/>
          <w:sz w:val="20"/>
        </w:rPr>
        <w:t xml:space="preserve"> </w:t>
      </w:r>
      <w:r>
        <w:rPr>
          <w:rFonts w:ascii="Calibri"/>
          <w:sz w:val="20"/>
        </w:rPr>
        <w:t>under</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terms</w:t>
      </w:r>
      <w:r>
        <w:rPr>
          <w:rFonts w:ascii="Calibri"/>
          <w:spacing w:val="-3"/>
          <w:sz w:val="20"/>
        </w:rPr>
        <w:t xml:space="preserve"> </w:t>
      </w:r>
      <w:r>
        <w:rPr>
          <w:rFonts w:ascii="Calibri"/>
          <w:sz w:val="20"/>
        </w:rPr>
        <w:t>of</w:t>
      </w:r>
      <w:r>
        <w:rPr>
          <w:rFonts w:ascii="Calibri"/>
          <w:spacing w:val="-5"/>
          <w:sz w:val="20"/>
        </w:rPr>
        <w:t xml:space="preserve"> </w:t>
      </w:r>
      <w:r>
        <w:rPr>
          <w:rFonts w:ascii="Calibri"/>
          <w:sz w:val="20"/>
        </w:rPr>
        <w:t>the</w:t>
      </w:r>
      <w:r>
        <w:rPr>
          <w:rFonts w:ascii="Calibri"/>
          <w:spacing w:val="-4"/>
          <w:sz w:val="20"/>
        </w:rPr>
        <w:t xml:space="preserve"> </w:t>
      </w:r>
      <w:r>
        <w:rPr>
          <w:rFonts w:ascii="Calibri"/>
          <w:sz w:val="20"/>
        </w:rPr>
        <w:t>Creative</w:t>
      </w:r>
      <w:r>
        <w:rPr>
          <w:rFonts w:ascii="Calibri"/>
          <w:spacing w:val="-4"/>
          <w:sz w:val="20"/>
        </w:rPr>
        <w:t xml:space="preserve"> </w:t>
      </w:r>
      <w:r>
        <w:rPr>
          <w:rFonts w:ascii="Calibri"/>
          <w:sz w:val="20"/>
        </w:rPr>
        <w:t>Commons Attribution License 4.0 International License</w:t>
      </w:r>
    </w:p>
    <w:p w:rsidR="004A54CC" w:rsidRDefault="004A54CC">
      <w:pPr>
        <w:spacing w:line="360" w:lineRule="auto"/>
        <w:jc w:val="center"/>
        <w:rPr>
          <w:rFonts w:ascii="Calibri"/>
          <w:sz w:val="20"/>
        </w:rPr>
        <w:sectPr w:rsidR="004A54CC">
          <w:headerReference w:type="default" r:id="rId9"/>
          <w:footerReference w:type="default" r:id="rId10"/>
          <w:type w:val="continuous"/>
          <w:pgSz w:w="11910" w:h="16840"/>
          <w:pgMar w:top="2000" w:right="566" w:bottom="1480" w:left="992" w:header="591" w:footer="1285" w:gutter="0"/>
          <w:pgNumType w:start="1"/>
          <w:cols w:space="720"/>
        </w:sectPr>
      </w:pPr>
    </w:p>
    <w:p w:rsidR="003807C4" w:rsidRDefault="003807C4">
      <w:pPr>
        <w:pStyle w:val="Titre1"/>
        <w:spacing w:before="127"/>
        <w:ind w:left="426"/>
        <w:rPr>
          <w:spacing w:val="-2"/>
        </w:rPr>
      </w:pPr>
    </w:p>
    <w:p w:rsidR="004A54CC" w:rsidRDefault="003F6DD5">
      <w:pPr>
        <w:pStyle w:val="Titre1"/>
        <w:spacing w:before="127"/>
        <w:ind w:left="426"/>
      </w:pPr>
      <w:r>
        <w:rPr>
          <w:spacing w:val="-2"/>
        </w:rPr>
        <w:t>Abstract</w:t>
      </w:r>
    </w:p>
    <w:p w:rsidR="00906A4C" w:rsidRDefault="00C92E5C" w:rsidP="00906A4C">
      <w:pPr>
        <w:pStyle w:val="Corpsdetexte"/>
        <w:spacing w:before="139"/>
        <w:ind w:left="426" w:right="848"/>
        <w:jc w:val="both"/>
        <w:rPr>
          <w:bCs/>
          <w:lang w:val="en-US"/>
        </w:rPr>
      </w:pPr>
      <w:r w:rsidRPr="00C92E5C">
        <w:rPr>
          <w:bCs/>
          <w:lang w:val="en-US"/>
        </w:rPr>
        <w:t>This paper aims to investigate the effect of environmental transparency on corporate tax behavior, specifically tax avoidance, among European firms. The empirical analysis is based on a sample of 347 European companies listed on the ESG index over the period 2016–2024, excluding financial firms due to their specific capital structure and regulatory requirements, as well as firms with missing data. The econometric analysis relies on the Feasible Generalized Least Squares (FGLS) regression method, complemented by robustness checks using an alternative measure of the dependent variable and a simultaneous equation model to address potential endogeneity issues. The findings reveal a negative relationship between environmental transparency and tax avoidance, suggesting that environmentally responsible managers are less inclined to engage in aggressive tax practices in the European context. From a practical perspective, the results indicate that environmental transparency can be leveraged by firms to enhance reporting quality, reduce tax avoidance, and better align fiscal strategies with sustainability objectives, while regulators may strengthen disclosure requirements to promote responsible tax behavior. From a societal standpoint, greater transparency contributes to fairer taxation, reinforces public trust, and fosters corporate accountability and sustainable development. This study provides novel evidence on the impact of environmental transparency on tax avoidance in European firms, thereby filling an important gap in the literature and offering meaningful strategic and regulatory implications.</w:t>
      </w:r>
    </w:p>
    <w:p w:rsidR="00906A4C" w:rsidRDefault="00123289" w:rsidP="00906A4C">
      <w:pPr>
        <w:pStyle w:val="Corpsdetexte"/>
        <w:spacing w:before="139"/>
        <w:ind w:left="426" w:right="848"/>
        <w:jc w:val="both"/>
        <w:rPr>
          <w:b/>
          <w:bCs/>
          <w:lang w:val="en-US"/>
        </w:rPr>
      </w:pPr>
      <w:r w:rsidRPr="00123289">
        <w:rPr>
          <w:b/>
          <w:bCs/>
          <w:lang w:val="en-US"/>
        </w:rPr>
        <w:t>Keywords:</w:t>
      </w:r>
    </w:p>
    <w:p w:rsidR="00123289" w:rsidRPr="00906A4C" w:rsidRDefault="00123289" w:rsidP="005312DE">
      <w:pPr>
        <w:pStyle w:val="Corpsdetexte"/>
        <w:spacing w:before="139"/>
        <w:ind w:left="426" w:right="848"/>
        <w:jc w:val="lowKashida"/>
        <w:rPr>
          <w:bCs/>
          <w:lang w:val="en-US"/>
        </w:rPr>
      </w:pPr>
      <w:r w:rsidRPr="00906A4C">
        <w:rPr>
          <w:bCs/>
          <w:lang w:val="en-US"/>
        </w:rPr>
        <w:t>Environmental Transparency, Corporate Environmental Disclosure, Tax Behavior</w:t>
      </w:r>
      <w:r w:rsidR="003C0389">
        <w:rPr>
          <w:bCs/>
          <w:lang w:val="en-US"/>
        </w:rPr>
        <w:t>,</w:t>
      </w:r>
      <w:r w:rsidRPr="00906A4C">
        <w:rPr>
          <w:bCs/>
          <w:lang w:val="en-US"/>
        </w:rPr>
        <w:t xml:space="preserve"> Tax Avoidance, Effective Tax Rate.</w:t>
      </w:r>
    </w:p>
    <w:p w:rsidR="004A54CC" w:rsidRDefault="004A54CC">
      <w:pPr>
        <w:pStyle w:val="Corpsdetexte"/>
      </w:pPr>
    </w:p>
    <w:p w:rsidR="004A54CC" w:rsidRDefault="004A54CC" w:rsidP="00B45BAC">
      <w:pPr>
        <w:pStyle w:val="Corpsdetexte"/>
        <w:outlineLvl w:val="0"/>
      </w:pPr>
    </w:p>
    <w:p w:rsidR="00B45BAC" w:rsidRDefault="00B45BAC" w:rsidP="00B45BAC">
      <w:pPr>
        <w:pStyle w:val="Corpsdetexte"/>
        <w:outlineLvl w:val="0"/>
      </w:pPr>
    </w:p>
    <w:p w:rsidR="004A54CC" w:rsidRPr="00B45BAC" w:rsidRDefault="00610C11" w:rsidP="00B45BAC">
      <w:pPr>
        <w:pStyle w:val="Titre1"/>
        <w:numPr>
          <w:ilvl w:val="0"/>
          <w:numId w:val="22"/>
        </w:numPr>
      </w:pPr>
      <w:r>
        <w:rPr>
          <w:spacing w:val="-2"/>
        </w:rPr>
        <w:t>Introduction</w:t>
      </w:r>
    </w:p>
    <w:p w:rsidR="00B45BAC" w:rsidRDefault="00B45BAC" w:rsidP="005312DE">
      <w:pPr>
        <w:pStyle w:val="Corpsdetexte"/>
        <w:ind w:left="426" w:right="846"/>
        <w:jc w:val="both"/>
        <w:rPr>
          <w:bCs/>
          <w:lang w:val="en-US"/>
        </w:rPr>
      </w:pPr>
    </w:p>
    <w:p w:rsidR="005312DE" w:rsidRPr="005312DE" w:rsidRDefault="005312DE" w:rsidP="005312DE">
      <w:pPr>
        <w:pStyle w:val="Corpsdetexte"/>
        <w:ind w:left="426" w:right="846"/>
        <w:jc w:val="both"/>
        <w:rPr>
          <w:bCs/>
          <w:lang w:val="en-US"/>
        </w:rPr>
      </w:pPr>
      <w:r w:rsidRPr="005312DE">
        <w:rPr>
          <w:bCs/>
          <w:lang w:val="en-US"/>
        </w:rPr>
        <w:t>Over the past few decades, there has been a growing emphasis on environmental sustainability. This has led governments, stakeholders, and society at large to demand greater transparency and accountability from firms regarding their environmental impacts. As a result, environmental transparency has been extensively studied by researchers (Konar and Cohen, 1997; Zhang et al., 2016). Numerous studies have explored the relationship between environmental transparency (CED) and various aspects of corporate behavior, such as green innovation, debt financing, risk of stock price decline, and financial performance (Wang et al., 2020; Du et al., 2022). However, there remains a significant gap in our understanding of the impact of environmental transparency on corporate tax avoidance behavior. This gap limits our understanding of the economic implications of environmental transparency and the motivations underlying corporate tax behavior.</w:t>
      </w:r>
    </w:p>
    <w:p w:rsidR="005312DE" w:rsidRPr="005312DE" w:rsidRDefault="005312DE" w:rsidP="005312DE">
      <w:pPr>
        <w:pStyle w:val="Corpsdetexte"/>
        <w:ind w:left="426" w:right="846"/>
        <w:jc w:val="both"/>
        <w:rPr>
          <w:bCs/>
          <w:lang w:val="en-US"/>
        </w:rPr>
      </w:pPr>
      <w:r w:rsidRPr="005312DE">
        <w:rPr>
          <w:bCs/>
          <w:lang w:val="en-US"/>
        </w:rPr>
        <w:t xml:space="preserve">Taxation is a major source of tax revenue for governments and a major cost for </w:t>
      </w:r>
      <w:r w:rsidRPr="005312DE">
        <w:rPr>
          <w:bCs/>
          <w:lang w:val="en-US"/>
        </w:rPr>
        <w:lastRenderedPageBreak/>
        <w:t xml:space="preserve">companies. Tax planning can reduce the tax burden for companies as well as the tax revenue for governments. Therefore, tax planning and tax avoidance are important issues for both companies and governments. Since 2010, tax avoidance has gained prominence in accounting research (Huseynov Sardarli and Zhang, 2017), as policymakers have already become aware of the problem following media reports on the tax avoidance practices of several global companies (Kanagaretnam et al.,2018). Tax avoidance is an action taken by taxpayers, whether companies or individuals, to minimize the tax burden. This action is safe because it does not violate tax rules. </w:t>
      </w:r>
    </w:p>
    <w:p w:rsidR="005312DE" w:rsidRPr="005312DE" w:rsidRDefault="005312DE" w:rsidP="005312DE">
      <w:pPr>
        <w:pStyle w:val="Corpsdetexte"/>
        <w:ind w:left="426" w:right="846"/>
        <w:jc w:val="both"/>
        <w:rPr>
          <w:bCs/>
          <w:lang w:val="en-US"/>
        </w:rPr>
      </w:pPr>
      <w:r w:rsidRPr="005312DE">
        <w:rPr>
          <w:bCs/>
          <w:lang w:val="en-US"/>
        </w:rPr>
        <w:t>However, it is different from tax evasion, which is the illegal avoidance of taxes, for example, by providing false tax information to the tax authorities. Even though tax avoidance is a safe action, the tax authorities do not approve of this practice because they want to receive maximum tax payments from taxpayers in order to develop government programs.</w:t>
      </w:r>
    </w:p>
    <w:p w:rsidR="005312DE" w:rsidRPr="005312DE" w:rsidRDefault="005312DE" w:rsidP="005312DE">
      <w:pPr>
        <w:pStyle w:val="Corpsdetexte"/>
        <w:ind w:left="426" w:right="846"/>
        <w:jc w:val="both"/>
        <w:rPr>
          <w:bCs/>
          <w:lang w:val="en-US"/>
        </w:rPr>
      </w:pPr>
      <w:r w:rsidRPr="005312DE">
        <w:rPr>
          <w:bCs/>
          <w:lang w:val="en-US"/>
        </w:rPr>
        <w:t>Thus, the impact of environmental transparency on corporate tax avoidance is influenced by the interplay of positive and negative effects. On the one hand, environmental transparency may increase the likelihood of corporate tax avoidance. To comply with policy requirements, firms incur information disclosure costs, resulting in lower productivity and profitability (Ren et al., 2022</w:t>
      </w:r>
      <w:proofErr w:type="gramStart"/>
      <w:r w:rsidRPr="005312DE">
        <w:rPr>
          <w:bCs/>
          <w:lang w:val="en-US"/>
        </w:rPr>
        <w:t>).In</w:t>
      </w:r>
      <w:proofErr w:type="gramEnd"/>
      <w:r w:rsidRPr="005312DE">
        <w:rPr>
          <w:bCs/>
          <w:lang w:val="en-US"/>
        </w:rPr>
        <w:t xml:space="preserve"> addition, environmental transparency may lead to negative information disclosure, triggering adverse market reactions (Meng and Zhang, 2022). </w:t>
      </w:r>
    </w:p>
    <w:p w:rsidR="005312DE" w:rsidRPr="005312DE" w:rsidRDefault="005312DE" w:rsidP="005312DE">
      <w:pPr>
        <w:pStyle w:val="Corpsdetexte"/>
        <w:ind w:left="426" w:right="846"/>
        <w:jc w:val="both"/>
        <w:rPr>
          <w:bCs/>
          <w:lang w:val="en-US"/>
        </w:rPr>
      </w:pPr>
      <w:r w:rsidRPr="005312DE">
        <w:rPr>
          <w:bCs/>
          <w:lang w:val="en-US"/>
        </w:rPr>
        <w:t>In such scenarios, firms may seek to mitigate the additional costs imposed by environmental transparency policies by reducing their financial expenditures on tax avoidance. On the other hand, environmental transparency may reduce firms' incentives to engage in tax avoidance. Increased disclosure helps companies mitigate the information asymmetry problem, allowing them to obtain better financing terms and reduce financing costs (Luo et al., 2019). In addition, environmental transparency policies can enhance corporate reputation and brand value, leading to higher reputational costs when tax avoidance is uncovered. As a result, companies are more likely to comply with tax rules.</w:t>
      </w:r>
    </w:p>
    <w:p w:rsidR="005312DE" w:rsidRPr="005312DE" w:rsidRDefault="005312DE" w:rsidP="005312DE">
      <w:pPr>
        <w:pStyle w:val="Corpsdetexte"/>
        <w:ind w:left="426" w:right="846"/>
        <w:jc w:val="both"/>
        <w:rPr>
          <w:bCs/>
          <w:lang w:val="en-US"/>
        </w:rPr>
      </w:pPr>
      <w:r w:rsidRPr="005312DE">
        <w:rPr>
          <w:bCs/>
          <w:lang w:val="en-US"/>
        </w:rPr>
        <w:t>Moreover, accounting and economics scholars have taken the issue seriously and proposed several factors that are believed to affect tax avoidance practices worldwide (Graham and Tucker, 2006; Gallemore and Labro, 2015; Bozanic et al., 2017). In their literature review, several studies have examined the influence of environmental transparency/CSR (Corporate Social Responsibility) on tax avoidance. While some researchers confirm a positive impact (</w:t>
      </w:r>
      <w:r w:rsidRPr="005312DE">
        <w:rPr>
          <w:bCs/>
        </w:rPr>
        <w:t>Zeng, 2019; Alsaadi, 2020; Abdelfattah and Aboud, 2020; Abid and Dammak, 2022</w:t>
      </w:r>
      <w:r w:rsidRPr="005312DE">
        <w:rPr>
          <w:bCs/>
          <w:lang w:val="en-US"/>
        </w:rPr>
        <w:t>), others suggest a negative impact (</w:t>
      </w:r>
      <w:r w:rsidRPr="005312DE">
        <w:rPr>
          <w:bCs/>
        </w:rPr>
        <w:t>Lanis and Richardson, 2012a, 2012b; Lanis and Richardson, 2015; Lopez-Gonzalez et al., 2019; Raithatha and Shaw, 2022</w:t>
      </w:r>
      <w:r w:rsidRPr="005312DE">
        <w:rPr>
          <w:bCs/>
          <w:lang w:val="en-US"/>
        </w:rPr>
        <w:t xml:space="preserve">). Consequently, this work empirically investigated the influence of environmental transparency on tax avoidance in </w:t>
      </w:r>
      <w:r w:rsidRPr="005312DE">
        <w:rPr>
          <w:lang w:val="en-US"/>
        </w:rPr>
        <w:t xml:space="preserve">1,836 </w:t>
      </w:r>
      <w:r w:rsidRPr="005312DE">
        <w:rPr>
          <w:bCs/>
          <w:lang w:val="en-US"/>
        </w:rPr>
        <w:t>companies between 2016 and 2024. In light of the above, the following research question emerges: Does environmental transparency affect tax avoidance?</w:t>
      </w:r>
    </w:p>
    <w:p w:rsidR="005312DE" w:rsidRPr="005312DE" w:rsidRDefault="005312DE" w:rsidP="005312DE">
      <w:pPr>
        <w:pStyle w:val="Corpsdetexte"/>
        <w:ind w:left="426" w:right="846"/>
        <w:jc w:val="both"/>
        <w:rPr>
          <w:bCs/>
          <w:lang w:val="en-US"/>
        </w:rPr>
      </w:pPr>
      <w:r w:rsidRPr="005312DE">
        <w:rPr>
          <w:bCs/>
          <w:lang w:val="en-US"/>
        </w:rPr>
        <w:t xml:space="preserve">This research makes a distinctive and significant contribution to accounting and finance literature by focusing on the relationship between environmental transparency and tax avoidance, a link that has rarely been studied. Previous studies have primarily examined environmental transparency in the context of </w:t>
      </w:r>
      <w:r w:rsidRPr="005312DE">
        <w:rPr>
          <w:bCs/>
          <w:lang w:val="en-US"/>
        </w:rPr>
        <w:lastRenderedPageBreak/>
        <w:t>corporate social responsibility, firm performance or stakeholder engagement (Benlemlih et al., 2018; Li et al., 2018), while tax avoidance has mostly been analysed separately (Xu et al., 2020; El-Gammal et al., 2020). Unlike prior research, which largely focuses on non-European contexts or emerging markets, this study investigates this relationship in a European setting, reflecting unique regulations. Furthermore, by applying robust endogeneity tests, the study ensures that the observed link between environmental transparency and tax avoidance is not distorted by omitted variables or reverse causality, thereby providing more reliable evidence of a causal relationship. By establishing this direct connection, the study not only fills a gap in the literature but also highlights the strategic role of environmental transparency. Firms may use it as a tool to enhance their public image, even when engaging in aggressive tax practices. This has important implications for regulators and corporate governance, suggesting ways to improve environmental transparency while limiting opportunities for tax avoidance.</w:t>
      </w:r>
    </w:p>
    <w:p w:rsidR="009721CD" w:rsidRDefault="005312DE" w:rsidP="009721CD">
      <w:pPr>
        <w:pStyle w:val="Corpsdetexte"/>
        <w:ind w:left="426" w:right="846"/>
        <w:jc w:val="both"/>
        <w:rPr>
          <w:lang w:val="en-US"/>
        </w:rPr>
      </w:pPr>
      <w:r w:rsidRPr="005312DE">
        <w:rPr>
          <w:lang w:val="en-US"/>
        </w:rPr>
        <w:t>The remainder of this article is organized as follows: Section 2 presents the theoretical framework and previous related studies to formulate the hypotheses to be tested. The research methodology adopted is described in Section 3. Sections 4 and 5 summarize the empirical results, including the robustness analyses with the alternative measure of the dependent variable. Finally, Section 6 concludes the main findings, limitations, and recommendations.</w:t>
      </w:r>
    </w:p>
    <w:p w:rsidR="007C5985" w:rsidRDefault="007C5985" w:rsidP="009721CD">
      <w:pPr>
        <w:pStyle w:val="Corpsdetexte"/>
        <w:ind w:left="426" w:right="846"/>
        <w:jc w:val="both"/>
        <w:rPr>
          <w:rFonts w:asciiTheme="majorBidi" w:hAnsiTheme="majorBidi" w:cstheme="majorBidi"/>
          <w:b/>
          <w:bCs/>
        </w:rPr>
      </w:pPr>
    </w:p>
    <w:p w:rsidR="007C5985" w:rsidRDefault="00931690" w:rsidP="007C5985">
      <w:pPr>
        <w:pStyle w:val="Corpsdetexte"/>
        <w:numPr>
          <w:ilvl w:val="0"/>
          <w:numId w:val="22"/>
        </w:numPr>
        <w:outlineLvl w:val="0"/>
        <w:rPr>
          <w:rFonts w:asciiTheme="majorBidi" w:hAnsiTheme="majorBidi" w:cstheme="majorBidi"/>
          <w:b/>
          <w:bCs/>
        </w:rPr>
      </w:pPr>
      <w:r w:rsidRPr="00B177B4">
        <w:rPr>
          <w:rFonts w:asciiTheme="majorBidi" w:hAnsiTheme="majorBidi" w:cstheme="majorBidi"/>
          <w:b/>
          <w:bCs/>
        </w:rPr>
        <w:t>Theoretical framework, literature review</w:t>
      </w:r>
      <w:r>
        <w:rPr>
          <w:rFonts w:asciiTheme="majorBidi" w:hAnsiTheme="majorBidi" w:cstheme="majorBidi"/>
          <w:b/>
          <w:bCs/>
        </w:rPr>
        <w:t>,</w:t>
      </w:r>
      <w:r w:rsidRPr="00B177B4">
        <w:rPr>
          <w:rFonts w:asciiTheme="majorBidi" w:hAnsiTheme="majorBidi" w:cstheme="majorBidi"/>
          <w:b/>
          <w:bCs/>
        </w:rPr>
        <w:t xml:space="preserve"> and hypotheses </w:t>
      </w:r>
    </w:p>
    <w:p w:rsidR="009721CD" w:rsidRDefault="00931690" w:rsidP="007C5985">
      <w:pPr>
        <w:pStyle w:val="Corpsdetexte"/>
        <w:ind w:left="1505"/>
        <w:outlineLvl w:val="0"/>
        <w:rPr>
          <w:rFonts w:asciiTheme="majorBidi" w:hAnsiTheme="majorBidi" w:cstheme="majorBidi"/>
          <w:b/>
          <w:bCs/>
        </w:rPr>
      </w:pPr>
      <w:r w:rsidRPr="00B177B4">
        <w:rPr>
          <w:rFonts w:asciiTheme="majorBidi" w:hAnsiTheme="majorBidi" w:cstheme="majorBidi"/>
          <w:b/>
          <w:bCs/>
        </w:rPr>
        <w:t>development</w:t>
      </w:r>
    </w:p>
    <w:p w:rsidR="007C5985" w:rsidRDefault="007C5985" w:rsidP="009721CD">
      <w:pPr>
        <w:pStyle w:val="Corpsdetexte"/>
        <w:ind w:left="426" w:right="846"/>
        <w:jc w:val="both"/>
        <w:rPr>
          <w:rFonts w:asciiTheme="majorBidi" w:hAnsiTheme="majorBidi" w:cstheme="majorBidi"/>
          <w:bCs/>
        </w:rPr>
      </w:pPr>
    </w:p>
    <w:p w:rsidR="009721CD" w:rsidRDefault="00931690" w:rsidP="009721CD">
      <w:pPr>
        <w:pStyle w:val="Corpsdetexte"/>
        <w:ind w:left="426" w:right="846"/>
        <w:jc w:val="both"/>
        <w:rPr>
          <w:rFonts w:asciiTheme="majorBidi" w:hAnsiTheme="majorBidi" w:cstheme="majorBidi"/>
          <w:bCs/>
        </w:rPr>
      </w:pPr>
      <w:r w:rsidRPr="004E4EB8">
        <w:rPr>
          <w:rFonts w:asciiTheme="majorBidi" w:hAnsiTheme="majorBidi" w:cstheme="majorBidi"/>
          <w:bCs/>
        </w:rPr>
        <w:t xml:space="preserve">Several theories explain the relationship between </w:t>
      </w:r>
      <w:r>
        <w:rPr>
          <w:rFonts w:asciiTheme="majorBidi" w:hAnsiTheme="majorBidi" w:cstheme="majorBidi"/>
          <w:bCs/>
        </w:rPr>
        <w:t>CED</w:t>
      </w:r>
      <w:r w:rsidRPr="004E4EB8">
        <w:rPr>
          <w:rFonts w:asciiTheme="majorBidi" w:hAnsiTheme="majorBidi" w:cstheme="majorBidi"/>
          <w:bCs/>
        </w:rPr>
        <w:t xml:space="preserve"> and </w:t>
      </w:r>
      <w:r>
        <w:rPr>
          <w:rFonts w:asciiTheme="majorBidi" w:hAnsiTheme="majorBidi" w:cstheme="majorBidi"/>
          <w:bCs/>
        </w:rPr>
        <w:t xml:space="preserve">tax avoidance </w:t>
      </w:r>
      <w:r w:rsidRPr="004E4EB8">
        <w:rPr>
          <w:rFonts w:asciiTheme="majorBidi" w:hAnsiTheme="majorBidi" w:cstheme="majorBidi"/>
          <w:bCs/>
        </w:rPr>
        <w:t>(stakeholder theory, agency theory, legitimacy theory, signaling theory</w:t>
      </w:r>
      <w:r>
        <w:rPr>
          <w:rFonts w:asciiTheme="majorBidi" w:hAnsiTheme="majorBidi" w:cstheme="majorBidi"/>
          <w:bCs/>
        </w:rPr>
        <w:t>, and risk management theory</w:t>
      </w:r>
      <w:r w:rsidRPr="004E4EB8">
        <w:rPr>
          <w:rFonts w:asciiTheme="majorBidi" w:hAnsiTheme="majorBidi" w:cstheme="majorBidi"/>
          <w:bCs/>
        </w:rPr>
        <w:t xml:space="preserve">. However, </w:t>
      </w:r>
      <w:r>
        <w:rPr>
          <w:rFonts w:asciiTheme="majorBidi" w:hAnsiTheme="majorBidi" w:cstheme="majorBidi"/>
          <w:bCs/>
        </w:rPr>
        <w:t xml:space="preserve">the </w:t>
      </w:r>
      <w:r w:rsidRPr="004E4EB8">
        <w:rPr>
          <w:rFonts w:asciiTheme="majorBidi" w:hAnsiTheme="majorBidi" w:cstheme="majorBidi"/>
          <w:bCs/>
        </w:rPr>
        <w:t>stakeholder theory (Freeman, 1984)</w:t>
      </w:r>
      <w:r>
        <w:rPr>
          <w:rFonts w:asciiTheme="majorBidi" w:hAnsiTheme="majorBidi" w:cstheme="majorBidi"/>
          <w:bCs/>
        </w:rPr>
        <w:t xml:space="preserve">, legitimacy theory </w:t>
      </w:r>
      <w:r w:rsidRPr="00E67EA5">
        <w:rPr>
          <w:rFonts w:asciiTheme="majorBidi" w:hAnsiTheme="majorBidi" w:cstheme="majorBidi"/>
          <w:bCs/>
        </w:rPr>
        <w:t xml:space="preserve">(Shocker </w:t>
      </w:r>
      <w:r>
        <w:rPr>
          <w:rFonts w:asciiTheme="majorBidi" w:hAnsiTheme="majorBidi" w:cstheme="majorBidi"/>
          <w:bCs/>
        </w:rPr>
        <w:t>and</w:t>
      </w:r>
      <w:r w:rsidRPr="00E67EA5">
        <w:rPr>
          <w:rFonts w:asciiTheme="majorBidi" w:hAnsiTheme="majorBidi" w:cstheme="majorBidi"/>
          <w:bCs/>
        </w:rPr>
        <w:t xml:space="preserve"> Sethi, 1973</w:t>
      </w:r>
      <w:r>
        <w:rPr>
          <w:rFonts w:asciiTheme="majorBidi" w:hAnsiTheme="majorBidi" w:cstheme="majorBidi"/>
          <w:bCs/>
        </w:rPr>
        <w:t>), and risk management theory (</w:t>
      </w:r>
      <w:r w:rsidRPr="00913514">
        <w:t>Arrow</w:t>
      </w:r>
      <w:r>
        <w:rPr>
          <w:rFonts w:asciiTheme="majorBidi" w:hAnsiTheme="majorBidi" w:cstheme="majorBidi"/>
          <w:bCs/>
        </w:rPr>
        <w:t xml:space="preserve">, 1951) </w:t>
      </w:r>
      <w:r w:rsidRPr="004E4EB8">
        <w:rPr>
          <w:rFonts w:asciiTheme="majorBidi" w:hAnsiTheme="majorBidi" w:cstheme="majorBidi"/>
          <w:bCs/>
        </w:rPr>
        <w:t>are most popular.</w:t>
      </w:r>
    </w:p>
    <w:p w:rsidR="009721CD" w:rsidRDefault="00931690" w:rsidP="009721CD">
      <w:pPr>
        <w:pStyle w:val="Corpsdetexte"/>
        <w:ind w:left="426" w:right="846"/>
        <w:jc w:val="both"/>
        <w:rPr>
          <w:rFonts w:asciiTheme="majorBidi" w:hAnsiTheme="majorBidi" w:cstheme="majorBidi"/>
          <w:bCs/>
        </w:rPr>
      </w:pPr>
      <w:r w:rsidRPr="00D8479B">
        <w:rPr>
          <w:rFonts w:asciiTheme="majorBidi" w:hAnsiTheme="majorBidi" w:cstheme="majorBidi"/>
          <w:bCs/>
        </w:rPr>
        <w:t xml:space="preserve">According to stakeholder theory, a company must consider all stakeholders affected or influenced by its activities (Freeman, 1984). This theory suggests a negative relationship between CSR commitment and tax avoidance. Existing literature argues that companies with a strong commitment to CSR are less likely to avoid taxes compared to those with less commitment (Hoi et al., </w:t>
      </w:r>
      <w:proofErr w:type="gramStart"/>
      <w:r w:rsidRPr="00D8479B">
        <w:rPr>
          <w:rFonts w:asciiTheme="majorBidi" w:hAnsiTheme="majorBidi" w:cstheme="majorBidi"/>
          <w:bCs/>
        </w:rPr>
        <w:t>2013;</w:t>
      </w:r>
      <w:proofErr w:type="gramEnd"/>
      <w:r w:rsidRPr="00D8479B">
        <w:rPr>
          <w:rFonts w:asciiTheme="majorBidi" w:hAnsiTheme="majorBidi" w:cstheme="majorBidi"/>
          <w:bCs/>
        </w:rPr>
        <w:t xml:space="preserve"> Huseynov and Klamm, 2012; Lanis and Richardson, 2012, 2015; Watson, 2015).</w:t>
      </w:r>
      <w:r>
        <w:rPr>
          <w:rFonts w:asciiTheme="majorBidi" w:hAnsiTheme="majorBidi" w:cstheme="majorBidi"/>
          <w:bCs/>
        </w:rPr>
        <w:t xml:space="preserve"> </w:t>
      </w:r>
      <w:r w:rsidRPr="007D7133">
        <w:rPr>
          <w:rFonts w:asciiTheme="majorBidi" w:hAnsiTheme="majorBidi" w:cstheme="majorBidi"/>
          <w:bCs/>
        </w:rPr>
        <w:t xml:space="preserve">Emphasizing the negative relationship between environmental performance and </w:t>
      </w:r>
      <w:r>
        <w:rPr>
          <w:rFonts w:asciiTheme="majorBidi" w:hAnsiTheme="majorBidi" w:cstheme="majorBidi"/>
          <w:bCs/>
        </w:rPr>
        <w:t>tax avoidance</w:t>
      </w:r>
      <w:r w:rsidRPr="007D7133">
        <w:rPr>
          <w:rFonts w:asciiTheme="majorBidi" w:hAnsiTheme="majorBidi" w:cstheme="majorBidi"/>
          <w:bCs/>
        </w:rPr>
        <w:t>, sustainable companies aim to cultivate long-term relationships with shareholders and other stakeholders. This approach supports sustainability goals and reinforces trust and trans</w:t>
      </w:r>
      <w:r>
        <w:rPr>
          <w:rFonts w:asciiTheme="majorBidi" w:hAnsiTheme="majorBidi" w:cstheme="majorBidi"/>
          <w:bCs/>
        </w:rPr>
        <w:t>parency in corporate practices</w:t>
      </w:r>
      <w:r w:rsidRPr="00B177B4">
        <w:rPr>
          <w:rFonts w:asciiTheme="majorBidi" w:hAnsiTheme="majorBidi" w:cstheme="majorBidi"/>
          <w:bCs/>
        </w:rPr>
        <w:t xml:space="preserve">. </w:t>
      </w:r>
    </w:p>
    <w:p w:rsidR="009721CD" w:rsidRDefault="00931690" w:rsidP="009721CD">
      <w:pPr>
        <w:pStyle w:val="Corpsdetexte"/>
        <w:ind w:left="426" w:right="846"/>
        <w:jc w:val="both"/>
        <w:rPr>
          <w:rFonts w:asciiTheme="majorBidi" w:hAnsiTheme="majorBidi" w:cstheme="majorBidi"/>
          <w:bCs/>
        </w:rPr>
      </w:pPr>
      <w:r w:rsidRPr="006F6D02">
        <w:rPr>
          <w:rFonts w:asciiTheme="majorBidi" w:hAnsiTheme="majorBidi" w:cstheme="majorBidi"/>
          <w:bCs/>
        </w:rPr>
        <w:t xml:space="preserve">According to </w:t>
      </w:r>
      <w:r>
        <w:rPr>
          <w:rFonts w:asciiTheme="majorBidi" w:hAnsiTheme="majorBidi" w:cstheme="majorBidi"/>
          <w:bCs/>
        </w:rPr>
        <w:t>l</w:t>
      </w:r>
      <w:r w:rsidRPr="00E67EA5">
        <w:rPr>
          <w:rFonts w:asciiTheme="majorBidi" w:hAnsiTheme="majorBidi" w:cstheme="majorBidi"/>
          <w:bCs/>
        </w:rPr>
        <w:t>egitimacy theory</w:t>
      </w:r>
      <w:r>
        <w:rPr>
          <w:rFonts w:asciiTheme="majorBidi" w:hAnsiTheme="majorBidi" w:cstheme="majorBidi"/>
          <w:bCs/>
        </w:rPr>
        <w:t xml:space="preserve"> </w:t>
      </w:r>
      <w:r w:rsidRPr="00E67EA5">
        <w:rPr>
          <w:rFonts w:asciiTheme="majorBidi" w:hAnsiTheme="majorBidi" w:cstheme="majorBidi"/>
          <w:bCs/>
        </w:rPr>
        <w:t xml:space="preserve">(Shocker </w:t>
      </w:r>
      <w:r>
        <w:rPr>
          <w:rFonts w:asciiTheme="majorBidi" w:hAnsiTheme="majorBidi" w:cstheme="majorBidi"/>
          <w:bCs/>
        </w:rPr>
        <w:t>and</w:t>
      </w:r>
      <w:r w:rsidRPr="00E67EA5">
        <w:rPr>
          <w:rFonts w:asciiTheme="majorBidi" w:hAnsiTheme="majorBidi" w:cstheme="majorBidi"/>
          <w:bCs/>
        </w:rPr>
        <w:t xml:space="preserve"> Sethi, 1973)</w:t>
      </w:r>
      <w:r>
        <w:rPr>
          <w:rFonts w:asciiTheme="majorBidi" w:hAnsiTheme="majorBidi" w:cstheme="majorBidi"/>
          <w:bCs/>
        </w:rPr>
        <w:t>, which</w:t>
      </w:r>
      <w:r w:rsidRPr="00E67EA5">
        <w:rPr>
          <w:rFonts w:asciiTheme="majorBidi" w:hAnsiTheme="majorBidi" w:cstheme="majorBidi"/>
          <w:bCs/>
        </w:rPr>
        <w:t xml:space="preserve"> posits that companies must align their economic activities with societal norms and </w:t>
      </w:r>
      <w:r w:rsidRPr="000235BE">
        <w:rPr>
          <w:rFonts w:asciiTheme="majorBidi" w:hAnsiTheme="majorBidi" w:cstheme="majorBidi"/>
          <w:bCs/>
        </w:rPr>
        <w:t>expectations. In line with legitimacy theory, tax avoidance is perceived as an irresponsible practice. Companies that engage</w:t>
      </w:r>
      <w:r w:rsidRPr="000B00D5">
        <w:rPr>
          <w:rFonts w:asciiTheme="majorBidi" w:hAnsiTheme="majorBidi" w:cstheme="majorBidi"/>
          <w:bCs/>
        </w:rPr>
        <w:t xml:space="preserve"> in aggressive tax strategies therefore use corporate social responsibility (CSR) as a strategic tool to avoid third-party scrutiny and legitimize their existence, while mitigating the negative effects associated with aggressive tax avoidance.</w:t>
      </w:r>
      <w:r>
        <w:rPr>
          <w:rFonts w:asciiTheme="majorBidi" w:hAnsiTheme="majorBidi" w:cstheme="majorBidi"/>
          <w:bCs/>
        </w:rPr>
        <w:t xml:space="preserve"> Indeed, l</w:t>
      </w:r>
      <w:r w:rsidRPr="000B00D5">
        <w:rPr>
          <w:rFonts w:asciiTheme="majorBidi" w:hAnsiTheme="majorBidi" w:cstheme="majorBidi"/>
          <w:bCs/>
        </w:rPr>
        <w:t>egitimacy theory focuses on the interaction between companies and society</w:t>
      </w:r>
      <w:r>
        <w:rPr>
          <w:rFonts w:asciiTheme="majorBidi" w:hAnsiTheme="majorBidi" w:cstheme="majorBidi"/>
          <w:bCs/>
        </w:rPr>
        <w:t xml:space="preserve"> (Archel</w:t>
      </w:r>
      <w:r w:rsidRPr="00E67EA5">
        <w:rPr>
          <w:rFonts w:asciiTheme="majorBidi" w:hAnsiTheme="majorBidi" w:cstheme="majorBidi"/>
          <w:bCs/>
        </w:rPr>
        <w:t xml:space="preserve"> </w:t>
      </w:r>
      <w:r>
        <w:rPr>
          <w:rFonts w:asciiTheme="majorBidi" w:hAnsiTheme="majorBidi" w:cstheme="majorBidi"/>
          <w:bCs/>
        </w:rPr>
        <w:t xml:space="preserve">et al. </w:t>
      </w:r>
      <w:r w:rsidRPr="00E67EA5">
        <w:rPr>
          <w:rFonts w:asciiTheme="majorBidi" w:hAnsiTheme="majorBidi" w:cstheme="majorBidi"/>
          <w:bCs/>
        </w:rPr>
        <w:t>2009)</w:t>
      </w:r>
      <w:r w:rsidRPr="000B00D5">
        <w:rPr>
          <w:rFonts w:asciiTheme="majorBidi" w:hAnsiTheme="majorBidi" w:cstheme="majorBidi"/>
          <w:bCs/>
        </w:rPr>
        <w:t xml:space="preserve">, </w:t>
      </w:r>
      <w:r w:rsidRPr="000B00D5">
        <w:rPr>
          <w:rFonts w:asciiTheme="majorBidi" w:hAnsiTheme="majorBidi" w:cstheme="majorBidi"/>
          <w:bCs/>
        </w:rPr>
        <w:lastRenderedPageBreak/>
        <w:t>emphasizing that CSR disclosure is a way for companies to acquire the legitimacy they need to ensure their continued existence. According to this theory, in order to gain this legitimacy and be recognized by society, companies must comply with all applicable standards. Thus, full disclosure of their social responsibility means that they attach real importance to the environment or social activities, demonstrating their responsibility and concern to earn positive recognition from society or other external parties.</w:t>
      </w:r>
    </w:p>
    <w:p w:rsidR="009721CD" w:rsidRDefault="00931690" w:rsidP="009721CD">
      <w:pPr>
        <w:pStyle w:val="Corpsdetexte"/>
        <w:ind w:left="426" w:right="846"/>
        <w:jc w:val="both"/>
        <w:rPr>
          <w:rFonts w:asciiTheme="majorBidi" w:hAnsiTheme="majorBidi" w:cstheme="majorBidi"/>
          <w:bCs/>
        </w:rPr>
      </w:pPr>
      <w:r>
        <w:rPr>
          <w:rFonts w:asciiTheme="majorBidi" w:hAnsiTheme="majorBidi" w:cstheme="majorBidi"/>
          <w:bCs/>
        </w:rPr>
        <w:t>In contrast, a</w:t>
      </w:r>
      <w:r w:rsidRPr="00B54973">
        <w:rPr>
          <w:rFonts w:asciiTheme="majorBidi" w:hAnsiTheme="majorBidi" w:cstheme="majorBidi"/>
          <w:bCs/>
        </w:rPr>
        <w:t>ccording to risk management theory, firms protect themselves from the reputational risks that may arise from reducing their tax burden by engaging in CSR (Godfrey,</w:t>
      </w:r>
      <w:r>
        <w:rPr>
          <w:rFonts w:asciiTheme="majorBidi" w:hAnsiTheme="majorBidi" w:cstheme="majorBidi"/>
          <w:bCs/>
        </w:rPr>
        <w:t xml:space="preserve"> </w:t>
      </w:r>
      <w:proofErr w:type="gramStart"/>
      <w:r>
        <w:rPr>
          <w:rFonts w:asciiTheme="majorBidi" w:hAnsiTheme="majorBidi" w:cstheme="majorBidi"/>
          <w:bCs/>
        </w:rPr>
        <w:t>2005;</w:t>
      </w:r>
      <w:proofErr w:type="gramEnd"/>
      <w:r>
        <w:rPr>
          <w:rFonts w:asciiTheme="majorBidi" w:hAnsiTheme="majorBidi" w:cstheme="majorBidi"/>
          <w:bCs/>
        </w:rPr>
        <w:t xml:space="preserve"> Col and Patel, 2019). </w:t>
      </w:r>
      <w:r w:rsidRPr="00B54973">
        <w:rPr>
          <w:rFonts w:asciiTheme="majorBidi" w:hAnsiTheme="majorBidi" w:cstheme="majorBidi"/>
          <w:bCs/>
        </w:rPr>
        <w:t>Since tax avoidance is a risky activity because it imposes huge costs on firms, such as negative political, regulatory</w:t>
      </w:r>
      <w:r>
        <w:rPr>
          <w:rFonts w:asciiTheme="majorBidi" w:hAnsiTheme="majorBidi" w:cstheme="majorBidi"/>
          <w:bCs/>
        </w:rPr>
        <w:t>,</w:t>
      </w:r>
      <w:r w:rsidRPr="00B54973">
        <w:rPr>
          <w:rFonts w:asciiTheme="majorBidi" w:hAnsiTheme="majorBidi" w:cstheme="majorBidi"/>
          <w:bCs/>
        </w:rPr>
        <w:t xml:space="preserve"> and social sanctions that can damage their reputation, firms might engage in CSR activities to protect themselves from the consequences of tax avoidance activities. Furthermore, risk management theory, which argues that companies deliberately increase their CSR activities to protect themselves against reputational risks that could arise from aggressive tax avoidance practices (Godfrey</w:t>
      </w:r>
      <w:r>
        <w:rPr>
          <w:rFonts w:asciiTheme="majorBidi" w:hAnsiTheme="majorBidi" w:cstheme="majorBidi"/>
          <w:bCs/>
        </w:rPr>
        <w:t>,</w:t>
      </w:r>
      <w:r w:rsidRPr="00B54973">
        <w:rPr>
          <w:rFonts w:asciiTheme="majorBidi" w:hAnsiTheme="majorBidi" w:cstheme="majorBidi"/>
          <w:bCs/>
        </w:rPr>
        <w:t xml:space="preserve"> </w:t>
      </w:r>
      <w:proofErr w:type="gramStart"/>
      <w:r w:rsidRPr="00B54973">
        <w:rPr>
          <w:rFonts w:asciiTheme="majorBidi" w:hAnsiTheme="majorBidi" w:cstheme="majorBidi"/>
          <w:bCs/>
        </w:rPr>
        <w:t>2005;</w:t>
      </w:r>
      <w:proofErr w:type="gramEnd"/>
      <w:r w:rsidRPr="00B54973">
        <w:rPr>
          <w:rFonts w:asciiTheme="majorBidi" w:hAnsiTheme="majorBidi" w:cstheme="majorBidi"/>
          <w:bCs/>
        </w:rPr>
        <w:t xml:space="preserve"> Minor and Morgan</w:t>
      </w:r>
      <w:r>
        <w:rPr>
          <w:rFonts w:asciiTheme="majorBidi" w:hAnsiTheme="majorBidi" w:cstheme="majorBidi"/>
          <w:bCs/>
        </w:rPr>
        <w:t>,</w:t>
      </w:r>
      <w:r w:rsidRPr="00B54973">
        <w:rPr>
          <w:rFonts w:asciiTheme="majorBidi" w:hAnsiTheme="majorBidi" w:cstheme="majorBidi"/>
          <w:bCs/>
        </w:rPr>
        <w:t xml:space="preserve"> 2011), predicts a positive relationship between CSR ratings and aggressive tax avoidance practices. Similarly, this theory confirms that companies focus on maximizing the interests of shareholders rather than the interests of all stakeholders. It suggests that firms mitigate the reputational risk associated with negative events and maximize shareholder interests by increasing their CSR activities, which helps them to build a positive reputation (Godfrey 2005).</w:t>
      </w:r>
    </w:p>
    <w:p w:rsidR="009721CD" w:rsidRDefault="00931690" w:rsidP="009721CD">
      <w:pPr>
        <w:pStyle w:val="Corpsdetexte"/>
        <w:ind w:left="426" w:right="846"/>
        <w:jc w:val="both"/>
        <w:rPr>
          <w:rFonts w:asciiTheme="majorBidi" w:hAnsiTheme="majorBidi" w:cstheme="majorBidi"/>
          <w:bCs/>
        </w:rPr>
      </w:pPr>
      <w:r w:rsidRPr="000564C6">
        <w:rPr>
          <w:rFonts w:asciiTheme="majorBidi" w:hAnsiTheme="majorBidi" w:cstheme="majorBidi"/>
          <w:bCs/>
        </w:rPr>
        <w:t>Previous research on the relationship between</w:t>
      </w:r>
      <w:r>
        <w:rPr>
          <w:rFonts w:asciiTheme="majorBidi" w:hAnsiTheme="majorBidi" w:cstheme="majorBidi"/>
          <w:bCs/>
        </w:rPr>
        <w:t xml:space="preserve"> environmental transparency</w:t>
      </w:r>
      <w:r w:rsidRPr="000564C6">
        <w:rPr>
          <w:rFonts w:asciiTheme="majorBidi" w:hAnsiTheme="majorBidi" w:cstheme="majorBidi"/>
          <w:bCs/>
        </w:rPr>
        <w:t xml:space="preserve"> and tax avoidance has yielded mixed and often contradictory results. Huseynov and Klamm (2012) investigated the effects of tax management fees and CSR on tax avoidance, using data from 2,337 firm-years of the Standard &amp; Poor's 500 index between 2000 and 2008. Their findings revealed that companies with significant CSR activities paid less corporate taxes, but no relationship was found between CSR strengths and tax avoidance.</w:t>
      </w:r>
    </w:p>
    <w:p w:rsidR="009721CD" w:rsidRDefault="00931690" w:rsidP="009721CD">
      <w:pPr>
        <w:pStyle w:val="Corpsdetexte"/>
        <w:ind w:left="426" w:right="846"/>
        <w:jc w:val="both"/>
        <w:rPr>
          <w:rFonts w:asciiTheme="majorBidi" w:hAnsiTheme="majorBidi" w:cstheme="majorBidi"/>
          <w:bCs/>
        </w:rPr>
      </w:pPr>
      <w:r w:rsidRPr="000564C6">
        <w:rPr>
          <w:rFonts w:asciiTheme="majorBidi" w:hAnsiTheme="majorBidi" w:cstheme="majorBidi"/>
          <w:bCs/>
        </w:rPr>
        <w:t xml:space="preserve">Indeed, Lanis and Richardson (2012) examined over 400 Australian firms for the 2008-2009 fiscal year, discovering that companies with extensive CSR disclosures were less inclined to engage in tax avoidance or aggressive tax strategies. Similarly, Hoi and Wu (2013) found, through a study involving 2,620 U.S. firms from 2003 to 2009, </w:t>
      </w:r>
      <w:r>
        <w:rPr>
          <w:rFonts w:asciiTheme="majorBidi" w:hAnsiTheme="majorBidi" w:cstheme="majorBidi"/>
          <w:bCs/>
        </w:rPr>
        <w:t>that</w:t>
      </w:r>
      <w:r w:rsidRPr="000564C6">
        <w:rPr>
          <w:rFonts w:asciiTheme="majorBidi" w:hAnsiTheme="majorBidi" w:cstheme="majorBidi"/>
          <w:bCs/>
        </w:rPr>
        <w:t xml:space="preserve"> companies with limited CSR involvement tended to adopt tax avoidance strategies. Davis and Guenther (201</w:t>
      </w:r>
      <w:r>
        <w:rPr>
          <w:rFonts w:asciiTheme="majorBidi" w:hAnsiTheme="majorBidi" w:cstheme="majorBidi"/>
          <w:bCs/>
        </w:rPr>
        <w:t>6</w:t>
      </w:r>
      <w:r w:rsidRPr="000564C6">
        <w:rPr>
          <w:rFonts w:asciiTheme="majorBidi" w:hAnsiTheme="majorBidi" w:cstheme="majorBidi"/>
          <w:bCs/>
        </w:rPr>
        <w:t>), using OLS and 3SLS tests, also found a negative correlation between CSR and corporate tax payments in their study of 5,588 observations of listed U.S. companies from 2006 to 2011. They concluded that companies leverage CSR not only for tax purposes but also for enhancing public perception through dynamic CSR and media strategies.</w:t>
      </w:r>
    </w:p>
    <w:p w:rsidR="009721CD" w:rsidRDefault="00931690" w:rsidP="009721CD">
      <w:pPr>
        <w:pStyle w:val="Corpsdetexte"/>
        <w:ind w:left="426" w:right="846"/>
        <w:jc w:val="both"/>
        <w:rPr>
          <w:rFonts w:asciiTheme="majorBidi" w:hAnsiTheme="majorBidi" w:cstheme="majorBidi"/>
          <w:bCs/>
        </w:rPr>
      </w:pPr>
      <w:r w:rsidRPr="000564C6">
        <w:rPr>
          <w:rFonts w:asciiTheme="majorBidi" w:hAnsiTheme="majorBidi" w:cstheme="majorBidi"/>
          <w:bCs/>
        </w:rPr>
        <w:t>Thus, Sari and Tjen (2017), analyzing non-financial firms listed on the Indonesian stock exchange from 2009 to 2012, found that CSR disclosure had a significantly negative effect on tax aggressiveness. This suggests that higher CSR disclosure correlates with lower tax aggressiveness. Similarly, Gulzar et al. (2018), using data from 3,481 firm-years in China between 2009 and 2015, observed that CSR was negatively linked to the current and cash effective tax rates, suggesting that socially responsible firms are more engaged in tax avoidance.</w:t>
      </w:r>
    </w:p>
    <w:p w:rsidR="009721CD" w:rsidRDefault="00931690" w:rsidP="009721CD">
      <w:pPr>
        <w:pStyle w:val="Corpsdetexte"/>
        <w:ind w:left="426" w:right="846"/>
        <w:jc w:val="both"/>
        <w:rPr>
          <w:rFonts w:asciiTheme="majorBidi" w:hAnsiTheme="majorBidi" w:cstheme="majorBidi"/>
          <w:bCs/>
        </w:rPr>
      </w:pPr>
      <w:r w:rsidRPr="000564C6">
        <w:rPr>
          <w:rFonts w:asciiTheme="majorBidi" w:hAnsiTheme="majorBidi" w:cstheme="majorBidi"/>
          <w:bCs/>
        </w:rPr>
        <w:lastRenderedPageBreak/>
        <w:t>Additionally, Santoso et al. (2020) analyzed Malaysian-listed companies for the period 2014-2019 and found that CSR disclosure was negatively associated with tax avoidance, indicating that companies actively disclosing CSR practices were less likely to engage in tax avoidance. Ortas and Gallego-Álvarez (2020), using an unbalanced panel of 2,696 firms from 30 countries across seven industries between 2002 and 2014, confirmed that firms with high social, environmental, and governance (ESG) performance were less likely to adopt aggressive tax practices.</w:t>
      </w:r>
    </w:p>
    <w:p w:rsidR="009721CD" w:rsidRDefault="00931690" w:rsidP="009721CD">
      <w:pPr>
        <w:pStyle w:val="Corpsdetexte"/>
        <w:ind w:left="426" w:right="846"/>
        <w:jc w:val="both"/>
        <w:rPr>
          <w:rFonts w:asciiTheme="majorBidi" w:hAnsiTheme="majorBidi" w:cstheme="majorBidi"/>
          <w:bCs/>
        </w:rPr>
      </w:pPr>
      <w:r w:rsidRPr="000564C6">
        <w:rPr>
          <w:rFonts w:asciiTheme="majorBidi" w:hAnsiTheme="majorBidi" w:cstheme="majorBidi"/>
          <w:bCs/>
        </w:rPr>
        <w:t>Furthermore, Rakia et al. (2024) examined 78 Malaysian companies from 2010 to 2017, highlighting that CSR transparency, linked to the presence of female board members, enhanced the negative impact of CSR on tax avoidance. On the other hand, Pandapotan (2023) found a positive and significant relationship between CSR and tax avoidance in Indonesian consumer goods firms from 2019 to 2020, suggesting that extensive CSR disclosure could reduce profits and tax obligations through deductible CSR expenses. Rashid et al. (2024) found that higher CSR spending among 30 Dhaka-listed banks between 2012 and 2020 was associated with lower tax avoidance, supporting the corporate culture theory. However, political connections weakened the negative effect of CSR on tax avoidance.</w:t>
      </w:r>
    </w:p>
    <w:p w:rsidR="009721CD" w:rsidRDefault="00931690" w:rsidP="009721CD">
      <w:pPr>
        <w:pStyle w:val="Corpsdetexte"/>
        <w:ind w:left="426" w:right="846"/>
        <w:jc w:val="both"/>
        <w:rPr>
          <w:rFonts w:asciiTheme="majorBidi" w:hAnsiTheme="majorBidi" w:cstheme="majorBidi"/>
          <w:bCs/>
        </w:rPr>
      </w:pPr>
      <w:r w:rsidRPr="000564C6">
        <w:rPr>
          <w:rFonts w:asciiTheme="majorBidi" w:hAnsiTheme="majorBidi" w:cstheme="majorBidi"/>
          <w:bCs/>
        </w:rPr>
        <w:t>According to Abd-Elmageed and Abo Ashour (2021), engaged in tax avoidance tend to increase CSR disclosures to mitigate community concerns and reinforce legitimacy. Similarly, Formigoni et al. (2021) suggested that higher corporate engagement in ESG issues correlates with lower tax avoidance behaviors.</w:t>
      </w:r>
      <w:r w:rsidRPr="000564C6">
        <w:rPr>
          <w:rFonts w:asciiTheme="majorBidi" w:hAnsiTheme="majorBidi" w:cstheme="majorBidi"/>
          <w:bCs/>
        </w:rPr>
        <w:tab/>
      </w:r>
    </w:p>
    <w:p w:rsidR="00931690" w:rsidRPr="009721CD" w:rsidRDefault="00931690" w:rsidP="009721CD">
      <w:pPr>
        <w:pStyle w:val="Corpsdetexte"/>
        <w:ind w:left="426" w:right="846"/>
        <w:jc w:val="both"/>
        <w:rPr>
          <w:lang w:val="en-US"/>
        </w:rPr>
      </w:pPr>
      <w:r w:rsidRPr="000564C6">
        <w:rPr>
          <w:rFonts w:asciiTheme="majorBidi" w:hAnsiTheme="majorBidi" w:cstheme="majorBidi"/>
          <w:bCs/>
        </w:rPr>
        <w:t xml:space="preserve">Notably, studies showing negative relationships between CSR or </w:t>
      </w:r>
      <w:r>
        <w:rPr>
          <w:rFonts w:asciiTheme="majorBidi" w:hAnsiTheme="majorBidi" w:cstheme="majorBidi"/>
          <w:bCs/>
        </w:rPr>
        <w:t>environmental transparency</w:t>
      </w:r>
      <w:r w:rsidRPr="000564C6">
        <w:rPr>
          <w:rFonts w:asciiTheme="majorBidi" w:hAnsiTheme="majorBidi" w:cstheme="majorBidi"/>
          <w:bCs/>
        </w:rPr>
        <w:t xml:space="preserve"> and tax avoidance often used larger samples compared to studies identifying positive relationships. Our research model follows that of Lanis and Richardson (2012), Hoi and Wu (2013), Davis and Guenther (2015), Sari and Tjen (2017), Santoso et al. (2020), Ortas and Gallego-Álvarez (2020), Rakia et al. (2024), and Rashid et al. (2024). Therefore, we expect a negative relationship between </w:t>
      </w:r>
      <w:r>
        <w:rPr>
          <w:rFonts w:asciiTheme="majorBidi" w:hAnsiTheme="majorBidi" w:cstheme="majorBidi"/>
          <w:bCs/>
        </w:rPr>
        <w:t>environmental transparency</w:t>
      </w:r>
      <w:r w:rsidRPr="000564C6">
        <w:rPr>
          <w:rFonts w:asciiTheme="majorBidi" w:hAnsiTheme="majorBidi" w:cstheme="majorBidi"/>
          <w:bCs/>
        </w:rPr>
        <w:t xml:space="preserve"> and tax avoidance. Building on legitimacy theory</w:t>
      </w:r>
      <w:r>
        <w:rPr>
          <w:rFonts w:asciiTheme="majorBidi" w:hAnsiTheme="majorBidi" w:cstheme="majorBidi"/>
          <w:bCs/>
        </w:rPr>
        <w:t xml:space="preserve"> and</w:t>
      </w:r>
      <w:r w:rsidRPr="000564C6">
        <w:rPr>
          <w:rFonts w:asciiTheme="majorBidi" w:hAnsiTheme="majorBidi" w:cstheme="majorBidi"/>
          <w:bCs/>
        </w:rPr>
        <w:t xml:space="preserve"> stakeholder theory, which are central to our research, we </w:t>
      </w:r>
      <w:proofErr w:type="gramStart"/>
      <w:r w:rsidR="002B0E71" w:rsidRPr="000564C6">
        <w:rPr>
          <w:rFonts w:asciiTheme="majorBidi" w:hAnsiTheme="majorBidi" w:cstheme="majorBidi"/>
          <w:bCs/>
        </w:rPr>
        <w:t>hypothesize:</w:t>
      </w:r>
      <w:proofErr w:type="gramEnd"/>
    </w:p>
    <w:p w:rsidR="002B0E71" w:rsidRDefault="00931690" w:rsidP="002B0E71">
      <w:pPr>
        <w:spacing w:before="100" w:beforeAutospacing="1" w:line="360" w:lineRule="auto"/>
        <w:ind w:left="425"/>
        <w:rPr>
          <w:rFonts w:asciiTheme="majorBidi" w:hAnsiTheme="majorBidi" w:cstheme="majorBidi"/>
          <w:b/>
          <w:i/>
          <w:sz w:val="24"/>
          <w:szCs w:val="24"/>
        </w:rPr>
      </w:pPr>
      <w:r w:rsidRPr="001573A2">
        <w:rPr>
          <w:rFonts w:asciiTheme="majorBidi" w:hAnsiTheme="majorBidi" w:cstheme="majorBidi"/>
          <w:b/>
          <w:i/>
          <w:sz w:val="24"/>
          <w:szCs w:val="24"/>
        </w:rPr>
        <w:t xml:space="preserve">H1. </w:t>
      </w:r>
      <w:r>
        <w:rPr>
          <w:rFonts w:asciiTheme="majorBidi" w:hAnsiTheme="majorBidi" w:cstheme="majorBidi"/>
          <w:b/>
          <w:i/>
          <w:sz w:val="24"/>
          <w:szCs w:val="24"/>
        </w:rPr>
        <w:t>Environmental transparency</w:t>
      </w:r>
      <w:r w:rsidRPr="001573A2">
        <w:rPr>
          <w:rFonts w:asciiTheme="majorBidi" w:hAnsiTheme="majorBidi" w:cstheme="majorBidi"/>
          <w:b/>
          <w:i/>
          <w:sz w:val="24"/>
          <w:szCs w:val="24"/>
        </w:rPr>
        <w:t xml:space="preserve"> has a negative impact on tax avoidance</w:t>
      </w:r>
    </w:p>
    <w:p w:rsidR="002B0E71" w:rsidRPr="002B0E71" w:rsidRDefault="002B0E71" w:rsidP="002B0E71">
      <w:pPr>
        <w:spacing w:line="360" w:lineRule="auto"/>
        <w:ind w:left="425"/>
        <w:rPr>
          <w:rFonts w:asciiTheme="majorBidi" w:hAnsiTheme="majorBidi" w:cstheme="majorBidi"/>
          <w:b/>
          <w:i/>
          <w:sz w:val="24"/>
          <w:szCs w:val="24"/>
        </w:rPr>
      </w:pPr>
    </w:p>
    <w:p w:rsidR="009721CD" w:rsidRDefault="00931690" w:rsidP="002B0E71">
      <w:pPr>
        <w:ind w:left="1145" w:hanging="357"/>
        <w:outlineLvl w:val="0"/>
        <w:rPr>
          <w:b/>
          <w:sz w:val="24"/>
          <w:szCs w:val="24"/>
        </w:rPr>
      </w:pPr>
      <w:r w:rsidRPr="00B177B4">
        <w:rPr>
          <w:rFonts w:asciiTheme="majorBidi" w:hAnsiTheme="majorBidi" w:cstheme="majorBidi"/>
          <w:b/>
          <w:bCs/>
          <w:sz w:val="24"/>
          <w:szCs w:val="24"/>
        </w:rPr>
        <w:t xml:space="preserve">3. </w:t>
      </w:r>
      <w:r w:rsidRPr="00B177B4">
        <w:rPr>
          <w:b/>
          <w:sz w:val="24"/>
          <w:szCs w:val="24"/>
        </w:rPr>
        <w:t>Research methodology</w:t>
      </w:r>
    </w:p>
    <w:p w:rsidR="002B0E71" w:rsidRDefault="002B0E71" w:rsidP="00F45517">
      <w:pPr>
        <w:ind w:left="425" w:right="845"/>
        <w:jc w:val="both"/>
        <w:rPr>
          <w:rFonts w:asciiTheme="majorBidi" w:hAnsiTheme="majorBidi" w:cstheme="majorBidi"/>
          <w:bCs/>
          <w:sz w:val="24"/>
          <w:szCs w:val="24"/>
        </w:rPr>
      </w:pPr>
    </w:p>
    <w:p w:rsidR="009721CD" w:rsidRPr="00F45517" w:rsidRDefault="00931690" w:rsidP="00F45517">
      <w:pPr>
        <w:ind w:left="425" w:right="845"/>
        <w:jc w:val="both"/>
        <w:rPr>
          <w:rFonts w:asciiTheme="majorBidi" w:hAnsiTheme="majorBidi" w:cstheme="majorBidi"/>
          <w:bCs/>
          <w:sz w:val="24"/>
          <w:szCs w:val="24"/>
        </w:rPr>
      </w:pPr>
      <w:r w:rsidRPr="00F45517">
        <w:rPr>
          <w:rFonts w:asciiTheme="majorBidi" w:hAnsiTheme="majorBidi" w:cstheme="majorBidi"/>
          <w:bCs/>
          <w:sz w:val="24"/>
          <w:szCs w:val="24"/>
        </w:rPr>
        <w:t xml:space="preserve">The main objective of this work is to study </w:t>
      </w:r>
      <w:r w:rsidRPr="00B177B4">
        <w:rPr>
          <w:rFonts w:asciiTheme="majorBidi" w:hAnsiTheme="majorBidi" w:cstheme="majorBidi"/>
          <w:bCs/>
          <w:sz w:val="24"/>
          <w:szCs w:val="24"/>
        </w:rPr>
        <w:t xml:space="preserve">the impact of </w:t>
      </w:r>
      <w:r>
        <w:rPr>
          <w:rFonts w:asciiTheme="majorBidi" w:hAnsiTheme="majorBidi" w:cstheme="majorBidi"/>
          <w:bCs/>
          <w:sz w:val="24"/>
          <w:szCs w:val="24"/>
        </w:rPr>
        <w:t>environmental transparency on tax avoidance</w:t>
      </w:r>
      <w:r w:rsidRPr="00B177B4">
        <w:rPr>
          <w:rFonts w:asciiTheme="majorBidi" w:hAnsiTheme="majorBidi" w:cstheme="majorBidi"/>
          <w:bCs/>
          <w:sz w:val="24"/>
          <w:szCs w:val="24"/>
        </w:rPr>
        <w:t xml:space="preserve"> in firms belonging to the ESG index. </w:t>
      </w:r>
    </w:p>
    <w:p w:rsidR="00931690" w:rsidRDefault="00931690" w:rsidP="00F45517">
      <w:pPr>
        <w:ind w:left="425" w:right="845"/>
        <w:jc w:val="both"/>
        <w:rPr>
          <w:rFonts w:asciiTheme="majorBidi" w:hAnsiTheme="majorBidi" w:cstheme="majorBidi"/>
          <w:bCs/>
          <w:sz w:val="24"/>
          <w:szCs w:val="24"/>
        </w:rPr>
      </w:pPr>
      <w:r w:rsidRPr="00F45517">
        <w:rPr>
          <w:rFonts w:asciiTheme="majorBidi" w:hAnsiTheme="majorBidi" w:cstheme="majorBidi"/>
          <w:bCs/>
          <w:sz w:val="24"/>
          <w:szCs w:val="24"/>
        </w:rPr>
        <w:t xml:space="preserve">In this section, we first describe the sample, the data sources, and the model of our empirical study. Second, we identify the different variables retained in this study, as well as their measures. </w:t>
      </w:r>
    </w:p>
    <w:p w:rsidR="00D75350" w:rsidRPr="00F45517" w:rsidRDefault="00D75350" w:rsidP="00F45517">
      <w:pPr>
        <w:ind w:left="425" w:right="845"/>
        <w:jc w:val="both"/>
        <w:rPr>
          <w:rFonts w:asciiTheme="majorBidi" w:hAnsiTheme="majorBidi" w:cstheme="majorBidi"/>
          <w:bCs/>
          <w:sz w:val="24"/>
          <w:szCs w:val="24"/>
        </w:rPr>
      </w:pPr>
    </w:p>
    <w:p w:rsidR="00931690" w:rsidRDefault="00931690" w:rsidP="00D75350">
      <w:pPr>
        <w:ind w:left="1145" w:hanging="357"/>
        <w:outlineLvl w:val="1"/>
        <w:rPr>
          <w:rFonts w:asciiTheme="majorBidi" w:hAnsiTheme="majorBidi" w:cstheme="majorBidi"/>
          <w:b/>
          <w:sz w:val="24"/>
          <w:szCs w:val="24"/>
        </w:rPr>
      </w:pPr>
      <w:r w:rsidRPr="00D75350">
        <w:rPr>
          <w:rFonts w:asciiTheme="majorBidi" w:hAnsiTheme="majorBidi" w:cstheme="majorBidi"/>
          <w:b/>
          <w:sz w:val="24"/>
          <w:szCs w:val="24"/>
        </w:rPr>
        <w:t>3.1 Sample selection and data collection</w:t>
      </w:r>
    </w:p>
    <w:p w:rsidR="00D75350" w:rsidRPr="00D75350" w:rsidRDefault="00D75350" w:rsidP="00D75350">
      <w:pPr>
        <w:ind w:left="1145" w:hanging="357"/>
        <w:outlineLvl w:val="1"/>
        <w:rPr>
          <w:rFonts w:asciiTheme="majorBidi" w:hAnsiTheme="majorBidi" w:cstheme="majorBidi"/>
          <w:b/>
          <w:sz w:val="24"/>
          <w:szCs w:val="24"/>
        </w:rPr>
      </w:pPr>
    </w:p>
    <w:p w:rsidR="00931690" w:rsidRPr="00F45517" w:rsidRDefault="00931690" w:rsidP="00F45517">
      <w:pPr>
        <w:pStyle w:val="Lgende"/>
        <w:spacing w:after="0"/>
        <w:ind w:left="425" w:right="845"/>
        <w:jc w:val="both"/>
        <w:rPr>
          <w:rFonts w:asciiTheme="majorBidi" w:eastAsia="Times New Roman" w:hAnsiTheme="majorBidi" w:cstheme="majorBidi"/>
          <w:b w:val="0"/>
          <w:bCs/>
          <w:iCs w:val="0"/>
          <w:szCs w:val="24"/>
          <w:lang w:val="fr-FR"/>
        </w:rPr>
      </w:pPr>
      <w:bookmarkStart w:id="1" w:name="_Toc201737866"/>
      <w:bookmarkStart w:id="2" w:name="_Toc116257402"/>
      <w:r w:rsidRPr="00F45517">
        <w:rPr>
          <w:rFonts w:asciiTheme="majorBidi" w:eastAsia="Times New Roman" w:hAnsiTheme="majorBidi" w:cstheme="majorBidi"/>
          <w:b w:val="0"/>
          <w:bCs/>
          <w:iCs w:val="0"/>
          <w:szCs w:val="24"/>
          <w:lang w:val="fr-FR"/>
        </w:rPr>
        <w:t xml:space="preserve">Our initial sample comprises 2,889 European companies that were included in the ESG index between 2016 and 2024. Companies with missing data were excluded from the initial sample, leaving 2,225 companies.  After filtering the data to </w:t>
      </w:r>
      <w:r w:rsidRPr="00F45517">
        <w:rPr>
          <w:rFonts w:asciiTheme="majorBidi" w:eastAsia="Times New Roman" w:hAnsiTheme="majorBidi" w:cstheme="majorBidi"/>
          <w:b w:val="0"/>
          <w:bCs/>
          <w:iCs w:val="0"/>
          <w:szCs w:val="24"/>
          <w:lang w:val="fr-FR"/>
        </w:rPr>
        <w:lastRenderedPageBreak/>
        <w:t xml:space="preserve">include only financial companies (banks and insurance companies), which are subject to regulatory oversight affecting their governance systems, we obtained a final sample of 1,836 European companies and 16,596 observations (year-company). </w:t>
      </w:r>
    </w:p>
    <w:p w:rsidR="00931690" w:rsidRPr="00F45517" w:rsidRDefault="00931690" w:rsidP="00F45517">
      <w:pPr>
        <w:pStyle w:val="Lgende"/>
        <w:spacing w:after="0"/>
        <w:ind w:left="425" w:right="845"/>
        <w:jc w:val="both"/>
        <w:rPr>
          <w:rFonts w:asciiTheme="majorBidi" w:eastAsia="Times New Roman" w:hAnsiTheme="majorBidi" w:cstheme="majorBidi"/>
          <w:b w:val="0"/>
          <w:bCs/>
          <w:iCs w:val="0"/>
          <w:szCs w:val="24"/>
          <w:lang w:val="fr-FR"/>
        </w:rPr>
      </w:pPr>
      <w:r w:rsidRPr="00F45517">
        <w:rPr>
          <w:rFonts w:asciiTheme="majorBidi" w:eastAsia="Times New Roman" w:hAnsiTheme="majorBidi" w:cstheme="majorBidi"/>
          <w:b w:val="0"/>
          <w:bCs/>
          <w:iCs w:val="0"/>
          <w:szCs w:val="24"/>
          <w:lang w:val="fr-FR"/>
        </w:rPr>
        <w:t xml:space="preserve">A summary of the sample reconciliation is presented in Table 1 (panel A). Table 1 (panel B) shows the number of company-year observations broken down by industry sector, while Table 1 (panel C) shows the number of companies broken down by Global Industry Classification Standard (GICS) and years. Panel C summarizes the distribution of the sample by country. It can be seen that the United Kingdom has the largest number of companies, with 411 out of a total of 1,836. This represents 22.38% of the total sample. Sweden is represented by 257 companies, equivalent to 14% of the total. </w:t>
      </w:r>
    </w:p>
    <w:p w:rsidR="00931690" w:rsidRPr="00A32778" w:rsidRDefault="00931690" w:rsidP="009721CD">
      <w:pPr>
        <w:ind w:left="425"/>
      </w:pPr>
    </w:p>
    <w:bookmarkEnd w:id="1"/>
    <w:bookmarkEnd w:id="2"/>
    <w:p w:rsidR="00931690" w:rsidRPr="00B11C2F" w:rsidRDefault="00931690" w:rsidP="009721CD">
      <w:pPr>
        <w:pStyle w:val="Lgende"/>
        <w:spacing w:after="0"/>
        <w:ind w:left="425"/>
        <w:jc w:val="both"/>
        <w:rPr>
          <w:b w:val="0"/>
          <w:bCs/>
          <w:szCs w:val="24"/>
        </w:rPr>
      </w:pPr>
      <w:r w:rsidRPr="00F71761">
        <w:rPr>
          <w:szCs w:val="24"/>
        </w:rPr>
        <w:t>Table 1.</w:t>
      </w:r>
      <w:r w:rsidRPr="00B11C2F">
        <w:rPr>
          <w:b w:val="0"/>
          <w:bCs/>
          <w:szCs w:val="24"/>
        </w:rPr>
        <w:t xml:space="preserve"> Sample selection and distribution by country and industry</w:t>
      </w:r>
    </w:p>
    <w:tbl>
      <w:tblPr>
        <w:tblW w:w="7796" w:type="dxa"/>
        <w:tblInd w:w="534" w:type="dxa"/>
        <w:tblBorders>
          <w:top w:val="single" w:sz="4" w:space="0" w:color="auto"/>
          <w:bottom w:val="single" w:sz="4" w:space="0" w:color="auto"/>
        </w:tblBorders>
        <w:tblLayout w:type="fixed"/>
        <w:tblLook w:val="04A0" w:firstRow="1" w:lastRow="0" w:firstColumn="1" w:lastColumn="0" w:noHBand="0" w:noVBand="1"/>
      </w:tblPr>
      <w:tblGrid>
        <w:gridCol w:w="1275"/>
        <w:gridCol w:w="709"/>
        <w:gridCol w:w="1435"/>
        <w:gridCol w:w="2374"/>
        <w:gridCol w:w="2003"/>
      </w:tblGrid>
      <w:tr w:rsidR="00931690" w:rsidRPr="00AB129D" w:rsidTr="002A4170">
        <w:trPr>
          <w:trHeight w:val="407"/>
        </w:trPr>
        <w:tc>
          <w:tcPr>
            <w:tcW w:w="7796" w:type="dxa"/>
            <w:gridSpan w:val="5"/>
            <w:tcBorders>
              <w:top w:val="single" w:sz="4" w:space="0" w:color="auto"/>
              <w:left w:val="nil"/>
              <w:bottom w:val="single" w:sz="4" w:space="0" w:color="auto"/>
              <w:right w:val="nil"/>
            </w:tcBorders>
            <w:hideMark/>
          </w:tcPr>
          <w:p w:rsidR="00931690" w:rsidRPr="00AB129D" w:rsidRDefault="00931690" w:rsidP="009721CD">
            <w:pPr>
              <w:tabs>
                <w:tab w:val="left" w:pos="6930"/>
              </w:tabs>
              <w:spacing w:line="360" w:lineRule="auto"/>
              <w:ind w:left="425"/>
              <w:rPr>
                <w:rFonts w:asciiTheme="majorBidi" w:hAnsiTheme="majorBidi" w:cstheme="majorBidi"/>
                <w:i/>
                <w:iCs/>
                <w:sz w:val="24"/>
                <w:szCs w:val="24"/>
              </w:rPr>
            </w:pPr>
            <w:r w:rsidRPr="00AB129D">
              <w:rPr>
                <w:rFonts w:asciiTheme="majorBidi" w:hAnsiTheme="majorBidi" w:cstheme="majorBidi"/>
                <w:i/>
                <w:iCs/>
                <w:sz w:val="24"/>
                <w:szCs w:val="24"/>
              </w:rPr>
              <w:t>Panel A : Sample selection</w:t>
            </w:r>
            <w:r w:rsidRPr="00AB129D">
              <w:rPr>
                <w:rFonts w:asciiTheme="majorBidi" w:hAnsiTheme="majorBidi" w:cstheme="majorBidi"/>
                <w:i/>
                <w:iCs/>
                <w:sz w:val="24"/>
                <w:szCs w:val="24"/>
              </w:rPr>
              <w:tab/>
            </w:r>
          </w:p>
        </w:tc>
      </w:tr>
      <w:tr w:rsidR="00931690" w:rsidRPr="00AB129D" w:rsidTr="002A4170">
        <w:trPr>
          <w:trHeight w:val="422"/>
        </w:trPr>
        <w:tc>
          <w:tcPr>
            <w:tcW w:w="3419" w:type="dxa"/>
            <w:gridSpan w:val="3"/>
            <w:tcBorders>
              <w:top w:val="nil"/>
              <w:left w:val="nil"/>
              <w:bottom w:val="nil"/>
              <w:right w:val="nil"/>
            </w:tcBorders>
          </w:tcPr>
          <w:p w:rsidR="00931690" w:rsidRPr="00AB129D" w:rsidRDefault="00931690" w:rsidP="005275F5">
            <w:pPr>
              <w:spacing w:line="360" w:lineRule="auto"/>
              <w:ind w:left="425"/>
              <w:rPr>
                <w:b/>
                <w:iCs/>
                <w:sz w:val="24"/>
                <w:szCs w:val="24"/>
              </w:rPr>
            </w:pPr>
            <w:r w:rsidRPr="00AB129D">
              <w:rPr>
                <w:b/>
                <w:iCs/>
                <w:sz w:val="24"/>
                <w:szCs w:val="24"/>
              </w:rPr>
              <w:t>Sample</w:t>
            </w:r>
          </w:p>
        </w:tc>
        <w:tc>
          <w:tcPr>
            <w:tcW w:w="2374" w:type="dxa"/>
            <w:tcBorders>
              <w:top w:val="nil"/>
              <w:left w:val="nil"/>
              <w:bottom w:val="nil"/>
              <w:right w:val="nil"/>
            </w:tcBorders>
          </w:tcPr>
          <w:p w:rsidR="00931690" w:rsidRPr="00AB129D" w:rsidRDefault="00931690" w:rsidP="005275F5">
            <w:pPr>
              <w:spacing w:line="360" w:lineRule="auto"/>
              <w:ind w:left="425"/>
              <w:rPr>
                <w:b/>
                <w:sz w:val="24"/>
                <w:szCs w:val="24"/>
              </w:rPr>
            </w:pPr>
            <w:r w:rsidRPr="00AB129D">
              <w:rPr>
                <w:b/>
                <w:sz w:val="24"/>
                <w:szCs w:val="24"/>
              </w:rPr>
              <w:t>Companies</w:t>
            </w:r>
          </w:p>
        </w:tc>
        <w:tc>
          <w:tcPr>
            <w:tcW w:w="2003" w:type="dxa"/>
            <w:tcBorders>
              <w:top w:val="nil"/>
              <w:left w:val="nil"/>
              <w:bottom w:val="nil"/>
              <w:right w:val="nil"/>
            </w:tcBorders>
          </w:tcPr>
          <w:p w:rsidR="00931690" w:rsidRPr="00AB129D" w:rsidRDefault="00931690" w:rsidP="005275F5">
            <w:pPr>
              <w:spacing w:line="360" w:lineRule="auto"/>
              <w:ind w:left="425"/>
              <w:rPr>
                <w:b/>
                <w:sz w:val="24"/>
                <w:szCs w:val="24"/>
              </w:rPr>
            </w:pPr>
            <w:r w:rsidRPr="00AB129D">
              <w:rPr>
                <w:b/>
                <w:sz w:val="24"/>
                <w:szCs w:val="24"/>
              </w:rPr>
              <w:t>Observations</w:t>
            </w:r>
          </w:p>
        </w:tc>
      </w:tr>
      <w:tr w:rsidR="00931690" w:rsidRPr="00AB129D" w:rsidTr="002A4170">
        <w:trPr>
          <w:trHeight w:val="407"/>
        </w:trPr>
        <w:tc>
          <w:tcPr>
            <w:tcW w:w="3419" w:type="dxa"/>
            <w:gridSpan w:val="3"/>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Initial sample</w:t>
            </w:r>
          </w:p>
        </w:tc>
        <w:tc>
          <w:tcPr>
            <w:tcW w:w="2374" w:type="dxa"/>
            <w:tcBorders>
              <w:top w:val="nil"/>
              <w:left w:val="nil"/>
              <w:bottom w:val="nil"/>
              <w:right w:val="nil"/>
            </w:tcBorders>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2889</w:t>
            </w:r>
          </w:p>
        </w:tc>
        <w:tc>
          <w:tcPr>
            <w:tcW w:w="2003" w:type="dxa"/>
            <w:tcBorders>
              <w:top w:val="nil"/>
              <w:left w:val="nil"/>
              <w:bottom w:val="nil"/>
              <w:right w:val="nil"/>
            </w:tcBorders>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26001</w:t>
            </w:r>
          </w:p>
        </w:tc>
      </w:tr>
      <w:tr w:rsidR="00931690" w:rsidRPr="00AB129D" w:rsidTr="002A4170">
        <w:trPr>
          <w:trHeight w:val="338"/>
        </w:trPr>
        <w:tc>
          <w:tcPr>
            <w:tcW w:w="3419" w:type="dxa"/>
            <w:gridSpan w:val="3"/>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Banks and financial institutions</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(389)</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(3501)</w:t>
            </w:r>
          </w:p>
        </w:tc>
      </w:tr>
      <w:tr w:rsidR="00931690" w:rsidRPr="00AB129D" w:rsidTr="002A4170">
        <w:trPr>
          <w:trHeight w:val="396"/>
        </w:trPr>
        <w:tc>
          <w:tcPr>
            <w:tcW w:w="3419" w:type="dxa"/>
            <w:gridSpan w:val="3"/>
            <w:tcBorders>
              <w:top w:val="nil"/>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Companies with missing data</w:t>
            </w:r>
          </w:p>
        </w:tc>
        <w:tc>
          <w:tcPr>
            <w:tcW w:w="2374" w:type="dxa"/>
            <w:tcBorders>
              <w:top w:val="nil"/>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(664)</w:t>
            </w:r>
          </w:p>
        </w:tc>
        <w:tc>
          <w:tcPr>
            <w:tcW w:w="2003" w:type="dxa"/>
            <w:tcBorders>
              <w:top w:val="nil"/>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(5976)</w:t>
            </w:r>
          </w:p>
        </w:tc>
      </w:tr>
      <w:tr w:rsidR="00931690" w:rsidRPr="00AB129D" w:rsidTr="002A4170">
        <w:trPr>
          <w:trHeight w:val="278"/>
        </w:trPr>
        <w:tc>
          <w:tcPr>
            <w:tcW w:w="3419" w:type="dxa"/>
            <w:gridSpan w:val="3"/>
            <w:tcBorders>
              <w:top w:val="single" w:sz="4" w:space="0" w:color="auto"/>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Final sample</w:t>
            </w:r>
          </w:p>
        </w:tc>
        <w:tc>
          <w:tcPr>
            <w:tcW w:w="2374" w:type="dxa"/>
            <w:tcBorders>
              <w:top w:val="single" w:sz="4" w:space="0" w:color="auto"/>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1836</w:t>
            </w:r>
          </w:p>
        </w:tc>
        <w:tc>
          <w:tcPr>
            <w:tcW w:w="2003" w:type="dxa"/>
            <w:tcBorders>
              <w:top w:val="single" w:sz="4" w:space="0" w:color="auto"/>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16524</w:t>
            </w:r>
          </w:p>
        </w:tc>
      </w:tr>
      <w:tr w:rsidR="00931690" w:rsidRPr="00AB129D" w:rsidTr="002A4170">
        <w:trPr>
          <w:trHeight w:val="407"/>
        </w:trPr>
        <w:tc>
          <w:tcPr>
            <w:tcW w:w="7796" w:type="dxa"/>
            <w:gridSpan w:val="5"/>
            <w:tcBorders>
              <w:top w:val="single" w:sz="4" w:space="0" w:color="auto"/>
              <w:left w:val="nil"/>
              <w:bottom w:val="single" w:sz="4" w:space="0" w:color="auto"/>
              <w:right w:val="nil"/>
            </w:tcBorders>
            <w:hideMark/>
          </w:tcPr>
          <w:p w:rsidR="00931690" w:rsidRPr="00AB129D" w:rsidRDefault="00931690" w:rsidP="009721CD">
            <w:pPr>
              <w:tabs>
                <w:tab w:val="left" w:pos="6930"/>
              </w:tabs>
              <w:spacing w:line="360" w:lineRule="auto"/>
              <w:ind w:left="425"/>
              <w:rPr>
                <w:rFonts w:asciiTheme="majorBidi" w:hAnsiTheme="majorBidi" w:cstheme="majorBidi"/>
                <w:sz w:val="24"/>
                <w:szCs w:val="24"/>
              </w:rPr>
            </w:pPr>
            <w:r w:rsidRPr="00AB129D">
              <w:rPr>
                <w:rFonts w:asciiTheme="majorBidi" w:hAnsiTheme="majorBidi" w:cstheme="majorBidi"/>
                <w:i/>
                <w:iCs/>
                <w:sz w:val="24"/>
                <w:szCs w:val="24"/>
              </w:rPr>
              <w:t xml:space="preserve">Panel </w:t>
            </w:r>
            <w:proofErr w:type="gramStart"/>
            <w:r w:rsidRPr="00AB129D">
              <w:rPr>
                <w:rFonts w:asciiTheme="majorBidi" w:hAnsiTheme="majorBidi" w:cstheme="majorBidi"/>
                <w:i/>
                <w:iCs/>
                <w:sz w:val="24"/>
                <w:szCs w:val="24"/>
              </w:rPr>
              <w:t>B:</w:t>
            </w:r>
            <w:proofErr w:type="gramEnd"/>
            <w:r w:rsidRPr="00AB129D">
              <w:rPr>
                <w:rFonts w:asciiTheme="majorBidi" w:hAnsiTheme="majorBidi" w:cstheme="majorBidi"/>
                <w:i/>
                <w:iCs/>
                <w:sz w:val="24"/>
                <w:szCs w:val="24"/>
              </w:rPr>
              <w:t xml:space="preserve"> Number of observations by sector of activity.</w:t>
            </w:r>
          </w:p>
        </w:tc>
      </w:tr>
      <w:tr w:rsidR="00931690" w:rsidRPr="00AB129D" w:rsidTr="00495FD8">
        <w:trPr>
          <w:trHeight w:val="542"/>
        </w:trPr>
        <w:tc>
          <w:tcPr>
            <w:tcW w:w="1275" w:type="dxa"/>
            <w:tcBorders>
              <w:top w:val="single" w:sz="4" w:space="0" w:color="auto"/>
              <w:left w:val="nil"/>
              <w:bottom w:val="nil"/>
              <w:right w:val="nil"/>
            </w:tcBorders>
            <w:hideMark/>
          </w:tcPr>
          <w:p w:rsidR="00931690" w:rsidRPr="00AB129D" w:rsidRDefault="00931690" w:rsidP="009721CD">
            <w:pPr>
              <w:ind w:left="425"/>
              <w:rPr>
                <w:rFonts w:asciiTheme="majorBidi" w:hAnsiTheme="majorBidi" w:cstheme="majorBidi"/>
                <w:b/>
                <w:bCs/>
                <w:sz w:val="24"/>
                <w:szCs w:val="24"/>
              </w:rPr>
            </w:pPr>
            <w:r w:rsidRPr="00AB129D">
              <w:rPr>
                <w:rFonts w:asciiTheme="majorBidi" w:hAnsiTheme="majorBidi" w:cstheme="majorBidi"/>
                <w:b/>
                <w:bCs/>
                <w:sz w:val="24"/>
                <w:szCs w:val="24"/>
              </w:rPr>
              <w:t xml:space="preserve">ICB Code    </w:t>
            </w:r>
          </w:p>
        </w:tc>
        <w:tc>
          <w:tcPr>
            <w:tcW w:w="2144" w:type="dxa"/>
            <w:gridSpan w:val="2"/>
            <w:tcBorders>
              <w:top w:val="single" w:sz="4" w:space="0" w:color="auto"/>
              <w:left w:val="nil"/>
              <w:bottom w:val="nil"/>
              <w:right w:val="nil"/>
            </w:tcBorders>
            <w:hideMark/>
          </w:tcPr>
          <w:p w:rsidR="00931690" w:rsidRPr="00AB129D" w:rsidRDefault="00931690" w:rsidP="009721CD">
            <w:pPr>
              <w:ind w:left="425"/>
              <w:rPr>
                <w:rFonts w:asciiTheme="majorBidi" w:hAnsiTheme="majorBidi" w:cstheme="majorBidi"/>
                <w:b/>
                <w:bCs/>
                <w:sz w:val="24"/>
                <w:szCs w:val="24"/>
              </w:rPr>
            </w:pPr>
            <w:r w:rsidRPr="00AB129D">
              <w:rPr>
                <w:rFonts w:asciiTheme="majorBidi" w:hAnsiTheme="majorBidi" w:cstheme="majorBidi"/>
                <w:b/>
                <w:bCs/>
                <w:sz w:val="24"/>
                <w:szCs w:val="24"/>
              </w:rPr>
              <w:t>Industry</w:t>
            </w:r>
          </w:p>
        </w:tc>
        <w:tc>
          <w:tcPr>
            <w:tcW w:w="2374" w:type="dxa"/>
            <w:tcBorders>
              <w:top w:val="single" w:sz="4" w:space="0" w:color="auto"/>
              <w:left w:val="nil"/>
              <w:bottom w:val="nil"/>
              <w:right w:val="nil"/>
            </w:tcBorders>
            <w:hideMark/>
          </w:tcPr>
          <w:p w:rsidR="00931690" w:rsidRPr="00AB129D" w:rsidRDefault="00931690" w:rsidP="009721CD">
            <w:pPr>
              <w:ind w:left="425"/>
              <w:rPr>
                <w:rFonts w:asciiTheme="majorBidi" w:hAnsiTheme="majorBidi" w:cstheme="majorBidi"/>
                <w:b/>
                <w:bCs/>
                <w:sz w:val="24"/>
                <w:szCs w:val="24"/>
              </w:rPr>
            </w:pPr>
            <w:r w:rsidRPr="00AB129D">
              <w:rPr>
                <w:rFonts w:asciiTheme="majorBidi" w:hAnsiTheme="majorBidi" w:cstheme="majorBidi"/>
                <w:b/>
                <w:bCs/>
                <w:sz w:val="24"/>
                <w:szCs w:val="24"/>
              </w:rPr>
              <w:t>N</w:t>
            </w:r>
          </w:p>
        </w:tc>
        <w:tc>
          <w:tcPr>
            <w:tcW w:w="2003" w:type="dxa"/>
            <w:tcBorders>
              <w:top w:val="single" w:sz="4" w:space="0" w:color="auto"/>
              <w:left w:val="nil"/>
              <w:bottom w:val="nil"/>
              <w:right w:val="nil"/>
            </w:tcBorders>
            <w:hideMark/>
          </w:tcPr>
          <w:p w:rsidR="00931690" w:rsidRPr="00AB129D" w:rsidRDefault="00931690" w:rsidP="009721CD">
            <w:pPr>
              <w:ind w:left="425"/>
              <w:rPr>
                <w:rFonts w:asciiTheme="majorBidi" w:hAnsiTheme="majorBidi" w:cstheme="majorBidi"/>
                <w:b/>
                <w:bCs/>
                <w:sz w:val="24"/>
                <w:szCs w:val="24"/>
              </w:rPr>
            </w:pPr>
            <w:r w:rsidRPr="00AB129D">
              <w:rPr>
                <w:rFonts w:asciiTheme="majorBidi" w:hAnsiTheme="majorBidi" w:cstheme="majorBidi"/>
                <w:b/>
                <w:bCs/>
                <w:sz w:val="24"/>
                <w:szCs w:val="24"/>
              </w:rPr>
              <w:t>%</w:t>
            </w:r>
          </w:p>
        </w:tc>
      </w:tr>
      <w:tr w:rsidR="00931690" w:rsidRPr="00AB129D" w:rsidTr="00495FD8">
        <w:trPr>
          <w:trHeight w:val="285"/>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0001</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Oil and Gas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801</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04.85%</w:t>
            </w:r>
          </w:p>
        </w:tc>
      </w:tr>
      <w:tr w:rsidR="00931690" w:rsidRPr="00AB129D" w:rsidTr="00495FD8">
        <w:trPr>
          <w:trHeight w:val="270"/>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Basic Materials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2511</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15.20%</w:t>
            </w:r>
          </w:p>
        </w:tc>
      </w:tr>
      <w:tr w:rsidR="00931690" w:rsidRPr="00AB129D" w:rsidTr="00495FD8">
        <w:trPr>
          <w:trHeight w:val="285"/>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2000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Industrials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4050</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24.51%</w:t>
            </w:r>
          </w:p>
        </w:tc>
      </w:tr>
      <w:tr w:rsidR="00931690" w:rsidRPr="00AB129D" w:rsidTr="00495FD8">
        <w:trPr>
          <w:trHeight w:val="270"/>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3000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Consumer Goods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2286</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13.84%</w:t>
            </w:r>
          </w:p>
        </w:tc>
      </w:tr>
      <w:tr w:rsidR="00931690" w:rsidRPr="00AB129D" w:rsidTr="00495FD8">
        <w:trPr>
          <w:trHeight w:val="270"/>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4000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Healthcare Equipment</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1728</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10.45%</w:t>
            </w:r>
          </w:p>
        </w:tc>
      </w:tr>
      <w:tr w:rsidR="00931690" w:rsidRPr="00AB129D" w:rsidTr="00495FD8">
        <w:trPr>
          <w:trHeight w:val="557"/>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5000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Consumer Services Instruments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1926</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11.65%</w:t>
            </w:r>
          </w:p>
        </w:tc>
      </w:tr>
      <w:tr w:rsidR="00931690" w:rsidRPr="00AB129D" w:rsidTr="00495FD8">
        <w:trPr>
          <w:trHeight w:val="285"/>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6000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Telecommunications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387</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02.34%</w:t>
            </w:r>
          </w:p>
        </w:tc>
      </w:tr>
      <w:tr w:rsidR="00931690" w:rsidRPr="00AB129D" w:rsidTr="00495FD8">
        <w:trPr>
          <w:trHeight w:val="270"/>
        </w:trPr>
        <w:tc>
          <w:tcPr>
            <w:tcW w:w="1275"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7000</w:t>
            </w:r>
          </w:p>
        </w:tc>
        <w:tc>
          <w:tcPr>
            <w:tcW w:w="2144" w:type="dxa"/>
            <w:gridSpan w:val="2"/>
            <w:tcBorders>
              <w:top w:val="nil"/>
              <w:left w:val="nil"/>
              <w:bottom w:val="nil"/>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Utilities</w:t>
            </w:r>
          </w:p>
        </w:tc>
        <w:tc>
          <w:tcPr>
            <w:tcW w:w="2374"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846</w:t>
            </w:r>
          </w:p>
        </w:tc>
        <w:tc>
          <w:tcPr>
            <w:tcW w:w="2003" w:type="dxa"/>
            <w:tcBorders>
              <w:top w:val="nil"/>
              <w:left w:val="nil"/>
              <w:bottom w:val="nil"/>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05.12%</w:t>
            </w:r>
          </w:p>
        </w:tc>
      </w:tr>
      <w:tr w:rsidR="00931690" w:rsidRPr="00AB129D" w:rsidTr="00495FD8">
        <w:trPr>
          <w:trHeight w:val="557"/>
        </w:trPr>
        <w:tc>
          <w:tcPr>
            <w:tcW w:w="1275" w:type="dxa"/>
            <w:tcBorders>
              <w:top w:val="nil"/>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9000</w:t>
            </w:r>
          </w:p>
        </w:tc>
        <w:tc>
          <w:tcPr>
            <w:tcW w:w="2144" w:type="dxa"/>
            <w:gridSpan w:val="2"/>
            <w:tcBorders>
              <w:top w:val="nil"/>
              <w:left w:val="nil"/>
              <w:bottom w:val="single" w:sz="4" w:space="0" w:color="auto"/>
              <w:right w:val="nil"/>
            </w:tcBorders>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Administrative Technology</w:t>
            </w:r>
          </w:p>
        </w:tc>
        <w:tc>
          <w:tcPr>
            <w:tcW w:w="2374" w:type="dxa"/>
            <w:tcBorders>
              <w:top w:val="nil"/>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1989</w:t>
            </w:r>
          </w:p>
        </w:tc>
        <w:tc>
          <w:tcPr>
            <w:tcW w:w="2003" w:type="dxa"/>
            <w:tcBorders>
              <w:top w:val="nil"/>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12.04%</w:t>
            </w:r>
          </w:p>
        </w:tc>
      </w:tr>
      <w:tr w:rsidR="00931690" w:rsidRPr="00AB129D" w:rsidTr="00495FD8">
        <w:trPr>
          <w:trHeight w:val="172"/>
        </w:trPr>
        <w:tc>
          <w:tcPr>
            <w:tcW w:w="1275" w:type="dxa"/>
            <w:tcBorders>
              <w:top w:val="single" w:sz="4" w:space="0" w:color="auto"/>
              <w:left w:val="nil"/>
              <w:bottom w:val="single" w:sz="4" w:space="0" w:color="auto"/>
              <w:right w:val="nil"/>
            </w:tcBorders>
          </w:tcPr>
          <w:p w:rsidR="00931690" w:rsidRPr="00AB129D" w:rsidRDefault="00931690" w:rsidP="009721CD">
            <w:pPr>
              <w:ind w:left="425"/>
              <w:rPr>
                <w:rFonts w:asciiTheme="majorBidi" w:hAnsiTheme="majorBidi" w:cstheme="majorBidi"/>
                <w:sz w:val="24"/>
                <w:szCs w:val="24"/>
              </w:rPr>
            </w:pPr>
          </w:p>
        </w:tc>
        <w:tc>
          <w:tcPr>
            <w:tcW w:w="2144" w:type="dxa"/>
            <w:gridSpan w:val="2"/>
            <w:tcBorders>
              <w:top w:val="single" w:sz="4" w:space="0" w:color="auto"/>
              <w:left w:val="nil"/>
              <w:bottom w:val="single" w:sz="4" w:space="0" w:color="auto"/>
              <w:right w:val="nil"/>
            </w:tcBorders>
            <w:hideMark/>
          </w:tcPr>
          <w:p w:rsidR="00931690" w:rsidRPr="00AB129D" w:rsidRDefault="00931690" w:rsidP="009721CD">
            <w:pPr>
              <w:ind w:left="425"/>
              <w:rPr>
                <w:sz w:val="24"/>
                <w:szCs w:val="24"/>
              </w:rPr>
            </w:pPr>
            <w:r w:rsidRPr="00AB129D">
              <w:rPr>
                <w:sz w:val="24"/>
                <w:szCs w:val="24"/>
              </w:rPr>
              <w:t>TOTAL</w:t>
            </w:r>
          </w:p>
        </w:tc>
        <w:tc>
          <w:tcPr>
            <w:tcW w:w="2374" w:type="dxa"/>
            <w:tcBorders>
              <w:top w:val="single" w:sz="4" w:space="0" w:color="auto"/>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16524</w:t>
            </w:r>
          </w:p>
        </w:tc>
        <w:tc>
          <w:tcPr>
            <w:tcW w:w="2003" w:type="dxa"/>
            <w:tcBorders>
              <w:top w:val="single" w:sz="4" w:space="0" w:color="auto"/>
              <w:left w:val="nil"/>
              <w:bottom w:val="single" w:sz="4" w:space="0" w:color="auto"/>
              <w:right w:val="nil"/>
            </w:tcBorders>
            <w:hideMark/>
          </w:tcPr>
          <w:p w:rsidR="00931690" w:rsidRPr="00AB129D" w:rsidRDefault="00931690" w:rsidP="009721CD">
            <w:pPr>
              <w:ind w:left="425"/>
              <w:rPr>
                <w:rFonts w:asciiTheme="majorBidi" w:hAnsiTheme="majorBidi" w:cstheme="majorBidi"/>
                <w:sz w:val="24"/>
                <w:szCs w:val="24"/>
              </w:rPr>
            </w:pPr>
            <w:r w:rsidRPr="00AB129D">
              <w:rPr>
                <w:rFonts w:asciiTheme="majorBidi" w:hAnsiTheme="majorBidi" w:cstheme="majorBidi"/>
                <w:sz w:val="24"/>
                <w:szCs w:val="24"/>
              </w:rPr>
              <w:t>100%</w:t>
            </w:r>
          </w:p>
        </w:tc>
      </w:tr>
      <w:tr w:rsidR="00931690" w:rsidRPr="00AB129D" w:rsidTr="002A4170">
        <w:trPr>
          <w:trHeight w:val="407"/>
        </w:trPr>
        <w:tc>
          <w:tcPr>
            <w:tcW w:w="7796" w:type="dxa"/>
            <w:gridSpan w:val="5"/>
            <w:tcBorders>
              <w:top w:val="single" w:sz="4" w:space="0" w:color="auto"/>
              <w:left w:val="nil"/>
              <w:bottom w:val="single" w:sz="4" w:space="0" w:color="auto"/>
              <w:right w:val="nil"/>
            </w:tcBorders>
            <w:hideMark/>
          </w:tcPr>
          <w:p w:rsidR="00931690" w:rsidRPr="00AB129D" w:rsidRDefault="00931690" w:rsidP="009721CD">
            <w:pPr>
              <w:tabs>
                <w:tab w:val="left" w:pos="6930"/>
              </w:tabs>
              <w:spacing w:line="360" w:lineRule="auto"/>
              <w:ind w:left="425"/>
              <w:rPr>
                <w:rFonts w:asciiTheme="majorBidi" w:hAnsiTheme="majorBidi" w:cstheme="majorBidi"/>
                <w:sz w:val="24"/>
                <w:szCs w:val="24"/>
              </w:rPr>
            </w:pPr>
            <w:r w:rsidRPr="00AB129D">
              <w:rPr>
                <w:rFonts w:asciiTheme="majorBidi" w:hAnsiTheme="majorBidi" w:cstheme="majorBidi"/>
                <w:i/>
                <w:iCs/>
                <w:sz w:val="24"/>
                <w:szCs w:val="24"/>
              </w:rPr>
              <w:t xml:space="preserve">Panel </w:t>
            </w:r>
            <w:proofErr w:type="gramStart"/>
            <w:r w:rsidRPr="00AB129D">
              <w:rPr>
                <w:rFonts w:asciiTheme="majorBidi" w:hAnsiTheme="majorBidi" w:cstheme="majorBidi"/>
                <w:i/>
                <w:iCs/>
                <w:sz w:val="24"/>
                <w:szCs w:val="24"/>
              </w:rPr>
              <w:t>C:</w:t>
            </w:r>
            <w:proofErr w:type="gramEnd"/>
            <w:r w:rsidRPr="00AB129D">
              <w:rPr>
                <w:rFonts w:asciiTheme="majorBidi" w:hAnsiTheme="majorBidi" w:cstheme="majorBidi"/>
                <w:i/>
                <w:iCs/>
                <w:sz w:val="24"/>
                <w:szCs w:val="24"/>
              </w:rPr>
              <w:t xml:space="preserve"> Distribution of the sample among countries</w:t>
            </w:r>
          </w:p>
        </w:tc>
      </w:tr>
      <w:tr w:rsidR="00931690" w:rsidRPr="00AB129D" w:rsidTr="002A4170">
        <w:trPr>
          <w:trHeight w:val="407"/>
        </w:trPr>
        <w:tc>
          <w:tcPr>
            <w:tcW w:w="1984" w:type="dxa"/>
            <w:gridSpan w:val="2"/>
            <w:tcBorders>
              <w:top w:val="single" w:sz="4" w:space="0" w:color="auto"/>
              <w:left w:val="nil"/>
              <w:bottom w:val="nil"/>
              <w:right w:val="nil"/>
            </w:tcBorders>
            <w:hideMark/>
          </w:tcPr>
          <w:p w:rsidR="00931690" w:rsidRPr="00AB129D" w:rsidRDefault="00931690" w:rsidP="009721CD">
            <w:pPr>
              <w:ind w:left="425"/>
              <w:rPr>
                <w:b/>
                <w:bCs/>
                <w:sz w:val="24"/>
                <w:szCs w:val="24"/>
              </w:rPr>
            </w:pPr>
            <w:r w:rsidRPr="00AB129D">
              <w:rPr>
                <w:b/>
                <w:bCs/>
                <w:sz w:val="24"/>
                <w:szCs w:val="24"/>
              </w:rPr>
              <w:t>Country</w:t>
            </w:r>
          </w:p>
        </w:tc>
        <w:tc>
          <w:tcPr>
            <w:tcW w:w="1435" w:type="dxa"/>
            <w:tcBorders>
              <w:top w:val="single" w:sz="4" w:space="0" w:color="auto"/>
              <w:left w:val="nil"/>
              <w:bottom w:val="nil"/>
              <w:right w:val="nil"/>
            </w:tcBorders>
            <w:hideMark/>
          </w:tcPr>
          <w:p w:rsidR="00931690" w:rsidRPr="00AB129D" w:rsidRDefault="00931690" w:rsidP="009721CD">
            <w:pPr>
              <w:spacing w:line="360" w:lineRule="auto"/>
              <w:ind w:left="425"/>
              <w:rPr>
                <w:rFonts w:asciiTheme="majorBidi" w:hAnsiTheme="majorBidi" w:cstheme="majorBidi"/>
                <w:b/>
                <w:bCs/>
                <w:sz w:val="24"/>
                <w:szCs w:val="24"/>
              </w:rPr>
            </w:pPr>
            <w:r w:rsidRPr="00AB129D">
              <w:rPr>
                <w:rFonts w:asciiTheme="majorBidi" w:hAnsiTheme="majorBidi" w:cstheme="majorBidi"/>
                <w:b/>
                <w:bCs/>
                <w:sz w:val="24"/>
                <w:szCs w:val="24"/>
              </w:rPr>
              <w:t>N</w:t>
            </w:r>
          </w:p>
        </w:tc>
        <w:tc>
          <w:tcPr>
            <w:tcW w:w="2374" w:type="dxa"/>
            <w:tcBorders>
              <w:top w:val="single" w:sz="4" w:space="0" w:color="auto"/>
              <w:left w:val="nil"/>
              <w:bottom w:val="nil"/>
              <w:right w:val="nil"/>
            </w:tcBorders>
            <w:hideMark/>
          </w:tcPr>
          <w:p w:rsidR="00931690" w:rsidRPr="00AB129D" w:rsidRDefault="00931690" w:rsidP="009721CD">
            <w:pPr>
              <w:spacing w:line="360" w:lineRule="auto"/>
              <w:ind w:left="425"/>
              <w:rPr>
                <w:rFonts w:asciiTheme="majorBidi" w:hAnsiTheme="majorBidi" w:cstheme="majorBidi"/>
                <w:b/>
                <w:bCs/>
                <w:sz w:val="24"/>
                <w:szCs w:val="24"/>
              </w:rPr>
            </w:pPr>
            <w:r w:rsidRPr="00AB129D">
              <w:rPr>
                <w:rFonts w:asciiTheme="majorBidi" w:hAnsiTheme="majorBidi" w:cstheme="majorBidi"/>
                <w:b/>
                <w:bCs/>
                <w:sz w:val="24"/>
                <w:szCs w:val="24"/>
              </w:rPr>
              <w:t xml:space="preserve">Observations </w:t>
            </w:r>
          </w:p>
        </w:tc>
        <w:tc>
          <w:tcPr>
            <w:tcW w:w="2003" w:type="dxa"/>
            <w:tcBorders>
              <w:top w:val="single" w:sz="4" w:space="0" w:color="auto"/>
              <w:left w:val="nil"/>
              <w:bottom w:val="nil"/>
              <w:right w:val="nil"/>
            </w:tcBorders>
            <w:hideMark/>
          </w:tcPr>
          <w:p w:rsidR="00931690" w:rsidRPr="00AB129D" w:rsidRDefault="00931690" w:rsidP="009721CD">
            <w:pPr>
              <w:spacing w:line="360" w:lineRule="auto"/>
              <w:ind w:left="425"/>
              <w:rPr>
                <w:rFonts w:asciiTheme="majorBidi" w:hAnsiTheme="majorBidi" w:cstheme="majorBidi"/>
                <w:b/>
                <w:bCs/>
                <w:sz w:val="24"/>
                <w:szCs w:val="24"/>
              </w:rPr>
            </w:pPr>
            <w:r w:rsidRPr="00AB129D">
              <w:rPr>
                <w:rFonts w:asciiTheme="majorBidi" w:hAnsiTheme="majorBidi" w:cstheme="majorBidi"/>
                <w:b/>
                <w:bCs/>
                <w:sz w:val="24"/>
                <w:szCs w:val="24"/>
              </w:rPr>
              <w:t>%</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lastRenderedPageBreak/>
              <w:t>Austria</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21</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189</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1.14%</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Turkey</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79</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711</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4.30%</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Greece</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19</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171</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1.03%</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Pr>
                <w:sz w:val="24"/>
                <w:szCs w:val="24"/>
              </w:rPr>
              <w:t>France</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163</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1467</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8.88%</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Switzerland</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125</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1125</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6.81%</w:t>
            </w:r>
          </w:p>
        </w:tc>
      </w:tr>
      <w:tr w:rsidR="00931690" w:rsidRPr="00AB129D" w:rsidTr="002A4170">
        <w:trPr>
          <w:trHeight w:val="55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United Kingdom</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411</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3699</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22.38%</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Denmark</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52</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468</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2.83%</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Norway</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72</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648</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3.92%</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Italy</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97</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873</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5.28%</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Sweden</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257</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2313</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14.00%</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Spain</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56</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504</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3.05%</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Netherlands</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42</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378</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2.29%</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Ireland</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10</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90</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0.54%</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Luxembourg</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9</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0.05%</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Finland</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65</w:t>
            </w:r>
          </w:p>
        </w:tc>
        <w:tc>
          <w:tcPr>
            <w:tcW w:w="2374" w:type="dxa"/>
            <w:tcBorders>
              <w:top w:val="nil"/>
              <w:left w:val="nil"/>
              <w:bottom w:val="nil"/>
              <w:right w:val="nil"/>
            </w:tcBorders>
            <w:hideMark/>
          </w:tcPr>
          <w:p w:rsidR="00931690" w:rsidRPr="00AB129D" w:rsidRDefault="00931690" w:rsidP="009721CD">
            <w:pPr>
              <w:tabs>
                <w:tab w:val="center" w:pos="1167"/>
              </w:tabs>
              <w:spacing w:line="360" w:lineRule="auto"/>
              <w:ind w:left="425"/>
              <w:rPr>
                <w:rFonts w:asciiTheme="majorBidi" w:hAnsiTheme="majorBidi" w:cstheme="majorBidi"/>
                <w:sz w:val="24"/>
                <w:szCs w:val="24"/>
              </w:rPr>
            </w:pPr>
            <w:r w:rsidRPr="00AB129D">
              <w:rPr>
                <w:rFonts w:asciiTheme="majorBidi" w:hAnsiTheme="majorBidi" w:cstheme="majorBidi"/>
                <w:sz w:val="24"/>
                <w:szCs w:val="24"/>
              </w:rPr>
              <w:t>585</w:t>
            </w:r>
            <w:r w:rsidRPr="00AB129D">
              <w:rPr>
                <w:rFonts w:asciiTheme="majorBidi" w:hAnsiTheme="majorBidi" w:cstheme="majorBidi"/>
                <w:sz w:val="24"/>
                <w:szCs w:val="24"/>
              </w:rPr>
              <w:tab/>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3.54%</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Germany</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229</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2061</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12.47%</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Belgium</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37</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333</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2.01%</w:t>
            </w:r>
          </w:p>
        </w:tc>
      </w:tr>
      <w:tr w:rsidR="00931690" w:rsidRPr="00AB129D" w:rsidTr="002A4170">
        <w:trPr>
          <w:trHeight w:val="55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Russian Federation</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30</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270</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1.63%</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Bulgaria</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9</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0.05%</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Hungary</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5</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45</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0.27%</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Slovenia</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18</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0.11%</w:t>
            </w:r>
          </w:p>
        </w:tc>
      </w:tr>
      <w:tr w:rsidR="00931690" w:rsidRPr="00AB129D" w:rsidTr="002A4170">
        <w:trPr>
          <w:trHeight w:val="54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Czech Republic</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18</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0.11%</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Portugal</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14</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126</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0.76%</w:t>
            </w:r>
          </w:p>
        </w:tc>
      </w:tr>
      <w:tr w:rsidR="00931690" w:rsidRPr="00AB129D" w:rsidTr="002A4170">
        <w:trPr>
          <w:trHeight w:val="422"/>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Poland</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28</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252</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1.52%</w:t>
            </w:r>
          </w:p>
        </w:tc>
      </w:tr>
      <w:tr w:rsidR="00931690" w:rsidRPr="00AB129D" w:rsidTr="002A4170">
        <w:trPr>
          <w:trHeight w:val="407"/>
        </w:trPr>
        <w:tc>
          <w:tcPr>
            <w:tcW w:w="1984" w:type="dxa"/>
            <w:gridSpan w:val="2"/>
            <w:tcBorders>
              <w:top w:val="nil"/>
              <w:left w:val="nil"/>
              <w:bottom w:val="nil"/>
              <w:right w:val="nil"/>
            </w:tcBorders>
            <w:hideMark/>
          </w:tcPr>
          <w:p w:rsidR="00931690" w:rsidRPr="00AB129D" w:rsidRDefault="00931690" w:rsidP="009721CD">
            <w:pPr>
              <w:ind w:left="425"/>
              <w:rPr>
                <w:sz w:val="24"/>
                <w:szCs w:val="24"/>
              </w:rPr>
            </w:pPr>
            <w:r w:rsidRPr="00AB129D">
              <w:rPr>
                <w:sz w:val="24"/>
                <w:szCs w:val="24"/>
              </w:rPr>
              <w:t>Iceland</w:t>
            </w:r>
          </w:p>
        </w:tc>
        <w:tc>
          <w:tcPr>
            <w:tcW w:w="1435"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10</w:t>
            </w:r>
          </w:p>
        </w:tc>
        <w:tc>
          <w:tcPr>
            <w:tcW w:w="2374"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90</w:t>
            </w:r>
          </w:p>
        </w:tc>
        <w:tc>
          <w:tcPr>
            <w:tcW w:w="2003" w:type="dxa"/>
            <w:tcBorders>
              <w:top w:val="nil"/>
              <w:left w:val="nil"/>
              <w:bottom w:val="nil"/>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0.54%</w:t>
            </w:r>
          </w:p>
        </w:tc>
      </w:tr>
      <w:tr w:rsidR="00931690" w:rsidRPr="00AB129D" w:rsidTr="002A4170">
        <w:trPr>
          <w:trHeight w:val="422"/>
        </w:trPr>
        <w:tc>
          <w:tcPr>
            <w:tcW w:w="1984" w:type="dxa"/>
            <w:gridSpan w:val="2"/>
            <w:tcBorders>
              <w:top w:val="nil"/>
              <w:left w:val="nil"/>
              <w:bottom w:val="single" w:sz="4" w:space="0" w:color="auto"/>
              <w:right w:val="nil"/>
            </w:tcBorders>
            <w:hideMark/>
          </w:tcPr>
          <w:p w:rsidR="00931690" w:rsidRPr="00AB129D" w:rsidRDefault="00931690" w:rsidP="009721CD">
            <w:pPr>
              <w:ind w:left="425"/>
              <w:rPr>
                <w:sz w:val="24"/>
                <w:szCs w:val="24"/>
              </w:rPr>
            </w:pPr>
            <w:r w:rsidRPr="00AB129D">
              <w:rPr>
                <w:sz w:val="24"/>
                <w:szCs w:val="24"/>
              </w:rPr>
              <w:t>Romania</w:t>
            </w:r>
          </w:p>
        </w:tc>
        <w:tc>
          <w:tcPr>
            <w:tcW w:w="1435" w:type="dxa"/>
            <w:tcBorders>
              <w:top w:val="nil"/>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8</w:t>
            </w:r>
          </w:p>
        </w:tc>
        <w:tc>
          <w:tcPr>
            <w:tcW w:w="2374" w:type="dxa"/>
            <w:tcBorders>
              <w:top w:val="nil"/>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72</w:t>
            </w:r>
          </w:p>
        </w:tc>
        <w:tc>
          <w:tcPr>
            <w:tcW w:w="2003" w:type="dxa"/>
            <w:tcBorders>
              <w:top w:val="nil"/>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0.43%</w:t>
            </w:r>
          </w:p>
        </w:tc>
      </w:tr>
      <w:tr w:rsidR="00931690" w:rsidRPr="00AB129D" w:rsidTr="002A4170">
        <w:trPr>
          <w:trHeight w:val="407"/>
        </w:trPr>
        <w:tc>
          <w:tcPr>
            <w:tcW w:w="1984" w:type="dxa"/>
            <w:gridSpan w:val="2"/>
            <w:tcBorders>
              <w:top w:val="single" w:sz="4" w:space="0" w:color="auto"/>
              <w:left w:val="nil"/>
              <w:bottom w:val="single" w:sz="4" w:space="0" w:color="auto"/>
              <w:right w:val="nil"/>
            </w:tcBorders>
            <w:hideMark/>
          </w:tcPr>
          <w:p w:rsidR="00931690" w:rsidRPr="00AB129D" w:rsidRDefault="00931690" w:rsidP="009721CD">
            <w:pPr>
              <w:ind w:left="425"/>
              <w:rPr>
                <w:sz w:val="24"/>
                <w:szCs w:val="24"/>
              </w:rPr>
            </w:pPr>
            <w:r w:rsidRPr="00AB129D">
              <w:rPr>
                <w:sz w:val="24"/>
                <w:szCs w:val="24"/>
              </w:rPr>
              <w:t>Total</w:t>
            </w:r>
          </w:p>
        </w:tc>
        <w:tc>
          <w:tcPr>
            <w:tcW w:w="1435" w:type="dxa"/>
            <w:tcBorders>
              <w:top w:val="single" w:sz="4" w:space="0" w:color="auto"/>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1836</w:t>
            </w:r>
          </w:p>
        </w:tc>
        <w:tc>
          <w:tcPr>
            <w:tcW w:w="2374" w:type="dxa"/>
            <w:tcBorders>
              <w:top w:val="single" w:sz="4" w:space="0" w:color="auto"/>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16524</w:t>
            </w:r>
          </w:p>
        </w:tc>
        <w:tc>
          <w:tcPr>
            <w:tcW w:w="2003" w:type="dxa"/>
            <w:tcBorders>
              <w:top w:val="single" w:sz="4" w:space="0" w:color="auto"/>
              <w:left w:val="nil"/>
              <w:bottom w:val="single" w:sz="4" w:space="0" w:color="auto"/>
              <w:right w:val="nil"/>
            </w:tcBorders>
            <w:hideMark/>
          </w:tcPr>
          <w:p w:rsidR="00931690" w:rsidRPr="00AB129D" w:rsidRDefault="00931690" w:rsidP="009721CD">
            <w:pPr>
              <w:spacing w:line="360" w:lineRule="auto"/>
              <w:ind w:left="425"/>
              <w:rPr>
                <w:rFonts w:asciiTheme="majorBidi" w:hAnsiTheme="majorBidi" w:cstheme="majorBidi"/>
                <w:sz w:val="24"/>
                <w:szCs w:val="24"/>
              </w:rPr>
            </w:pPr>
            <w:r w:rsidRPr="00AB129D">
              <w:rPr>
                <w:rFonts w:asciiTheme="majorBidi" w:hAnsiTheme="majorBidi" w:cstheme="majorBidi"/>
                <w:sz w:val="24"/>
                <w:szCs w:val="24"/>
              </w:rPr>
              <w:t>100%</w:t>
            </w:r>
          </w:p>
        </w:tc>
      </w:tr>
    </w:tbl>
    <w:p w:rsidR="0062718C" w:rsidRDefault="0062718C" w:rsidP="0062718C">
      <w:pPr>
        <w:ind w:left="425" w:right="845"/>
        <w:rPr>
          <w:sz w:val="18"/>
          <w:szCs w:val="24"/>
        </w:rPr>
      </w:pPr>
      <w:r w:rsidRPr="00F10CFC">
        <w:rPr>
          <w:b/>
          <w:bCs/>
          <w:sz w:val="18"/>
          <w:szCs w:val="24"/>
        </w:rPr>
        <w:t>Note(s</w:t>
      </w:r>
      <w:proofErr w:type="gramStart"/>
      <w:r w:rsidRPr="00F10CFC">
        <w:rPr>
          <w:b/>
          <w:bCs/>
          <w:sz w:val="18"/>
          <w:szCs w:val="24"/>
        </w:rPr>
        <w:t>):</w:t>
      </w:r>
      <w:proofErr w:type="gramEnd"/>
      <w:r w:rsidRPr="00C378EB">
        <w:rPr>
          <w:bCs/>
          <w:sz w:val="18"/>
          <w:szCs w:val="24"/>
        </w:rPr>
        <w:t xml:space="preserve"> </w:t>
      </w:r>
      <w:r w:rsidRPr="00C378EB">
        <w:rPr>
          <w:sz w:val="18"/>
          <w:szCs w:val="24"/>
        </w:rPr>
        <w:t>Panel A describes the sample selection, Panel B provides the distributional properties of the full sample by country, and Panel C presents sample distribution by industry.</w:t>
      </w:r>
    </w:p>
    <w:p w:rsidR="00931690" w:rsidRPr="00B37CCE" w:rsidRDefault="00931690" w:rsidP="0062718C">
      <w:pPr>
        <w:ind w:left="425" w:right="845"/>
        <w:rPr>
          <w:sz w:val="18"/>
          <w:szCs w:val="24"/>
        </w:rPr>
      </w:pPr>
      <w:proofErr w:type="gramStart"/>
      <w:r w:rsidRPr="00641D5C">
        <w:rPr>
          <w:b/>
          <w:sz w:val="18"/>
          <w:szCs w:val="18"/>
        </w:rPr>
        <w:t>Source:</w:t>
      </w:r>
      <w:proofErr w:type="gramEnd"/>
      <w:r w:rsidRPr="00641D5C">
        <w:rPr>
          <w:sz w:val="18"/>
          <w:szCs w:val="18"/>
        </w:rPr>
        <w:t xml:space="preserve"> Authors’ own work</w:t>
      </w:r>
    </w:p>
    <w:p w:rsidR="00D75350" w:rsidRDefault="00D75350" w:rsidP="00D75350">
      <w:pPr>
        <w:tabs>
          <w:tab w:val="left" w:pos="2948"/>
        </w:tabs>
        <w:spacing w:before="100" w:beforeAutospacing="1" w:after="100" w:afterAutospacing="1"/>
        <w:ind w:left="425" w:right="845"/>
        <w:contextualSpacing/>
        <w:jc w:val="both"/>
        <w:rPr>
          <w:rFonts w:asciiTheme="majorBidi" w:hAnsiTheme="majorBidi" w:cstheme="majorBidi"/>
          <w:b/>
          <w:sz w:val="24"/>
          <w:szCs w:val="24"/>
        </w:rPr>
      </w:pPr>
    </w:p>
    <w:p w:rsidR="00931690" w:rsidRDefault="00931690" w:rsidP="002A2DA6">
      <w:pPr>
        <w:tabs>
          <w:tab w:val="left" w:pos="2948"/>
        </w:tabs>
        <w:ind w:left="1145" w:hanging="357"/>
        <w:contextualSpacing/>
        <w:outlineLvl w:val="1"/>
        <w:rPr>
          <w:b/>
          <w:sz w:val="24"/>
          <w:szCs w:val="24"/>
        </w:rPr>
      </w:pPr>
      <w:r w:rsidRPr="00D75350">
        <w:rPr>
          <w:rFonts w:asciiTheme="majorBidi" w:hAnsiTheme="majorBidi" w:cstheme="majorBidi"/>
          <w:b/>
          <w:sz w:val="24"/>
          <w:szCs w:val="24"/>
        </w:rPr>
        <w:t>3.2 V</w:t>
      </w:r>
      <w:r w:rsidRPr="00D75350">
        <w:rPr>
          <w:b/>
          <w:sz w:val="24"/>
          <w:szCs w:val="24"/>
        </w:rPr>
        <w:t>ariables</w:t>
      </w:r>
      <w:r w:rsidRPr="00D75350">
        <w:rPr>
          <w:b/>
          <w:sz w:val="24"/>
          <w:szCs w:val="24"/>
        </w:rPr>
        <w:tab/>
      </w:r>
    </w:p>
    <w:p w:rsidR="00276648" w:rsidRPr="00D75350" w:rsidRDefault="00276648" w:rsidP="002A2DA6">
      <w:pPr>
        <w:tabs>
          <w:tab w:val="left" w:pos="2948"/>
        </w:tabs>
        <w:ind w:left="1145" w:hanging="357"/>
        <w:contextualSpacing/>
        <w:outlineLvl w:val="1"/>
        <w:rPr>
          <w:rFonts w:asciiTheme="majorBidi" w:hAnsiTheme="majorBidi" w:cstheme="majorBidi"/>
          <w:b/>
          <w:sz w:val="24"/>
          <w:szCs w:val="24"/>
        </w:rPr>
      </w:pPr>
    </w:p>
    <w:p w:rsidR="00931690" w:rsidRPr="00FE56F0" w:rsidRDefault="00931690" w:rsidP="00565637">
      <w:pPr>
        <w:ind w:left="425" w:right="845"/>
        <w:contextualSpacing/>
        <w:jc w:val="both"/>
        <w:rPr>
          <w:rFonts w:asciiTheme="majorBidi" w:hAnsiTheme="majorBidi" w:cstheme="majorBidi"/>
          <w:bCs/>
          <w:i/>
          <w:iCs/>
          <w:sz w:val="24"/>
          <w:szCs w:val="24"/>
        </w:rPr>
      </w:pPr>
      <w:r w:rsidRPr="00B177B4">
        <w:rPr>
          <w:rFonts w:asciiTheme="majorBidi" w:hAnsiTheme="majorBidi" w:cstheme="majorBidi"/>
          <w:bCs/>
          <w:i/>
          <w:iCs/>
          <w:sz w:val="24"/>
          <w:szCs w:val="24"/>
        </w:rPr>
        <w:t>3.2.</w:t>
      </w:r>
      <w:r w:rsidRPr="00B177B4">
        <w:rPr>
          <w:i/>
          <w:sz w:val="24"/>
          <w:szCs w:val="24"/>
        </w:rPr>
        <w:t>1. Dependent variable.</w:t>
      </w:r>
      <w:r w:rsidRPr="00B177B4">
        <w:rPr>
          <w:sz w:val="24"/>
          <w:szCs w:val="24"/>
        </w:rPr>
        <w:t xml:space="preserve"> </w:t>
      </w:r>
      <w:r w:rsidRPr="00464CCB">
        <w:rPr>
          <w:sz w:val="24"/>
          <w:szCs w:val="24"/>
        </w:rPr>
        <w:t xml:space="preserve">Tax avoidance is of academic interest. In line with previous literature, we use the effective tax rate (ETR) as an indicator of corporate tax avoidance (Dyreng and Hanlon, </w:t>
      </w:r>
      <w:proofErr w:type="gramStart"/>
      <w:r w:rsidRPr="00464CCB">
        <w:rPr>
          <w:sz w:val="24"/>
          <w:szCs w:val="24"/>
        </w:rPr>
        <w:t>2010;</w:t>
      </w:r>
      <w:proofErr w:type="gramEnd"/>
      <w:r w:rsidRPr="00464CCB">
        <w:rPr>
          <w:sz w:val="24"/>
          <w:szCs w:val="24"/>
        </w:rPr>
        <w:t xml:space="preserve"> Hope et al., 2013; Hasan et </w:t>
      </w:r>
      <w:r>
        <w:rPr>
          <w:sz w:val="24"/>
          <w:szCs w:val="24"/>
        </w:rPr>
        <w:t xml:space="preserve">al., 2014; Yoo and Lee, 2019).  </w:t>
      </w:r>
      <w:r w:rsidRPr="00464CCB">
        <w:rPr>
          <w:sz w:val="24"/>
          <w:szCs w:val="24"/>
        </w:rPr>
        <w:t>In addition, Lanis and Richardson (2012) argue that the effective tax rate (ETR) measures a firm's ability to reduce its tax payments relative to its pre-tax income. Huseynov and Klamm (2012) also use this measure of tax avoidance in their study of the relationship between certain CSR disclosure measure</w:t>
      </w:r>
      <w:r>
        <w:rPr>
          <w:sz w:val="24"/>
          <w:szCs w:val="24"/>
        </w:rPr>
        <w:t xml:space="preserve">s and corporate tax avoidance. </w:t>
      </w:r>
      <w:r w:rsidRPr="00464CCB">
        <w:rPr>
          <w:sz w:val="24"/>
          <w:szCs w:val="24"/>
        </w:rPr>
        <w:t xml:space="preserve">To conduct further analysis by exploring an alternative measure of tax avoidance, we use the cash ETR. This is calculated as the proportion of taxes paid in cash relative to a company's pre-tax profit in a given year </w:t>
      </w:r>
      <w:r w:rsidRPr="003943D0">
        <w:rPr>
          <w:sz w:val="24"/>
          <w:szCs w:val="24"/>
        </w:rPr>
        <w:t>(see Table 2).</w:t>
      </w:r>
    </w:p>
    <w:p w:rsidR="00931690" w:rsidRPr="00661121" w:rsidRDefault="00931690" w:rsidP="00F45517">
      <w:pPr>
        <w:ind w:left="425" w:right="845"/>
        <w:contextualSpacing/>
        <w:jc w:val="both"/>
        <w:rPr>
          <w:sz w:val="24"/>
          <w:szCs w:val="24"/>
        </w:rPr>
      </w:pPr>
      <w:r w:rsidRPr="00B177B4">
        <w:rPr>
          <w:rFonts w:asciiTheme="majorBidi" w:hAnsiTheme="majorBidi" w:cstheme="majorBidi"/>
          <w:bCs/>
          <w:i/>
          <w:iCs/>
          <w:sz w:val="24"/>
          <w:szCs w:val="24"/>
        </w:rPr>
        <w:t xml:space="preserve">3.2.2 </w:t>
      </w:r>
      <w:r w:rsidRPr="00B177B4">
        <w:rPr>
          <w:i/>
          <w:sz w:val="24"/>
          <w:szCs w:val="24"/>
        </w:rPr>
        <w:t>Independent variables.</w:t>
      </w:r>
      <w:r w:rsidRPr="00B177B4">
        <w:rPr>
          <w:sz w:val="24"/>
          <w:szCs w:val="24"/>
        </w:rPr>
        <w:t xml:space="preserve"> </w:t>
      </w:r>
      <w:r w:rsidRPr="00661121">
        <w:rPr>
          <w:sz w:val="24"/>
          <w:szCs w:val="24"/>
        </w:rPr>
        <w:t xml:space="preserve">In this study, the independent variable, environmental transparency, is measured through Corporate Environmental Disclosure (CED). Following previous studies (Giannarakis et al., </w:t>
      </w:r>
      <w:proofErr w:type="gramStart"/>
      <w:r w:rsidRPr="00661121">
        <w:rPr>
          <w:sz w:val="24"/>
          <w:szCs w:val="24"/>
        </w:rPr>
        <w:t>2020;</w:t>
      </w:r>
      <w:proofErr w:type="gramEnd"/>
      <w:r w:rsidRPr="00661121">
        <w:rPr>
          <w:sz w:val="24"/>
          <w:szCs w:val="24"/>
        </w:rPr>
        <w:t xml:space="preserve"> Şahin et al., 2022; Aly et al., 2024), CED is captured using the Refinitiv Environmental Pillar Score, which provides a standardized assessment of a firm’s environmental performance. This weighted score reflects the company’s disclosed environmental information across three main </w:t>
      </w:r>
      <w:proofErr w:type="gramStart"/>
      <w:r w:rsidRPr="00661121">
        <w:rPr>
          <w:sz w:val="24"/>
          <w:szCs w:val="24"/>
        </w:rPr>
        <w:t>categories:</w:t>
      </w:r>
      <w:proofErr w:type="gramEnd"/>
      <w:r w:rsidRPr="00661121">
        <w:rPr>
          <w:sz w:val="24"/>
          <w:szCs w:val="24"/>
        </w:rPr>
        <w:t xml:space="preserve"> emission reduction, resource reduction, and product innovation, thereby capturing the firm’s commitment to transparency in its environmental practices.</w:t>
      </w:r>
    </w:p>
    <w:p w:rsidR="00931690" w:rsidRPr="00CD1301" w:rsidRDefault="00931690" w:rsidP="00F45517">
      <w:pPr>
        <w:ind w:left="425" w:right="845"/>
        <w:contextualSpacing/>
        <w:jc w:val="both"/>
        <w:rPr>
          <w:rFonts w:asciiTheme="majorBidi" w:hAnsiTheme="majorBidi" w:cstheme="majorBidi"/>
          <w:bCs/>
          <w:i/>
          <w:iCs/>
          <w:sz w:val="24"/>
          <w:szCs w:val="24"/>
        </w:rPr>
      </w:pPr>
      <w:r w:rsidRPr="00CD1301">
        <w:rPr>
          <w:rFonts w:asciiTheme="majorBidi" w:hAnsiTheme="majorBidi" w:cstheme="majorBidi"/>
          <w:bCs/>
          <w:i/>
          <w:iCs/>
          <w:sz w:val="24"/>
          <w:szCs w:val="24"/>
        </w:rPr>
        <w:t>3.2.3 Control variables</w:t>
      </w:r>
    </w:p>
    <w:p w:rsidR="00931690" w:rsidRPr="00B177B4" w:rsidRDefault="00931690" w:rsidP="00F45517">
      <w:pPr>
        <w:adjustRightInd w:val="0"/>
        <w:ind w:left="425" w:right="845"/>
        <w:contextualSpacing/>
        <w:jc w:val="both"/>
        <w:rPr>
          <w:rFonts w:asciiTheme="majorBidi" w:hAnsiTheme="majorBidi" w:cstheme="majorBidi"/>
          <w:bCs/>
          <w:iCs/>
          <w:strike/>
          <w:sz w:val="24"/>
          <w:szCs w:val="24"/>
        </w:rPr>
      </w:pPr>
      <w:r w:rsidRPr="00B177B4">
        <w:rPr>
          <w:rFonts w:asciiTheme="majorBidi" w:eastAsiaTheme="minorHAnsi" w:hAnsiTheme="majorBidi" w:cstheme="majorBidi"/>
          <w:sz w:val="24"/>
          <w:szCs w:val="24"/>
        </w:rPr>
        <w:t xml:space="preserve">Following </w:t>
      </w:r>
      <w:r>
        <w:rPr>
          <w:rFonts w:asciiTheme="majorBidi" w:eastAsiaTheme="minorHAnsi" w:hAnsiTheme="majorBidi" w:cstheme="majorBidi"/>
          <w:sz w:val="24"/>
          <w:szCs w:val="24"/>
        </w:rPr>
        <w:t>tax avoidance</w:t>
      </w:r>
      <w:r w:rsidRPr="00B177B4">
        <w:rPr>
          <w:rFonts w:asciiTheme="majorBidi" w:eastAsiaTheme="minorHAnsi" w:hAnsiTheme="majorBidi" w:cstheme="majorBidi"/>
          <w:sz w:val="24"/>
          <w:szCs w:val="24"/>
        </w:rPr>
        <w:t xml:space="preserve"> literature, we consider an array of control variables expected to influence the magnitude of </w:t>
      </w:r>
      <w:r>
        <w:rPr>
          <w:rFonts w:asciiTheme="majorBidi" w:eastAsiaTheme="minorHAnsi" w:hAnsiTheme="majorBidi" w:cstheme="majorBidi"/>
          <w:sz w:val="24"/>
          <w:szCs w:val="24"/>
        </w:rPr>
        <w:t>tax avoidance</w:t>
      </w:r>
      <w:r w:rsidRPr="00B177B4">
        <w:rPr>
          <w:rFonts w:asciiTheme="majorBidi" w:eastAsiaTheme="minorHAnsi" w:hAnsiTheme="majorBidi" w:cstheme="majorBidi"/>
          <w:sz w:val="24"/>
          <w:szCs w:val="24"/>
        </w:rPr>
        <w:t xml:space="preserve">. So, this study includes, as control </w:t>
      </w:r>
      <w:proofErr w:type="gramStart"/>
      <w:r w:rsidRPr="00B177B4">
        <w:rPr>
          <w:rFonts w:asciiTheme="majorBidi" w:eastAsiaTheme="minorHAnsi" w:hAnsiTheme="majorBidi" w:cstheme="majorBidi"/>
          <w:sz w:val="24"/>
          <w:szCs w:val="24"/>
        </w:rPr>
        <w:t>variables:</w:t>
      </w:r>
      <w:proofErr w:type="gramEnd"/>
      <w:r w:rsidRPr="00B177B4">
        <w:rPr>
          <w:rFonts w:asciiTheme="majorBidi" w:eastAsiaTheme="minorHAnsi" w:hAnsiTheme="majorBidi" w:cstheme="majorBidi"/>
          <w:sz w:val="24"/>
          <w:szCs w:val="24"/>
        </w:rPr>
        <w:t xml:space="preserve"> firm size, </w:t>
      </w:r>
      <w:r w:rsidRPr="00B177B4">
        <w:rPr>
          <w:rFonts w:asciiTheme="majorBidi" w:hAnsiTheme="majorBidi" w:cstheme="majorBidi"/>
          <w:bCs/>
          <w:sz w:val="24"/>
          <w:szCs w:val="24"/>
        </w:rPr>
        <w:t>firm leverage, firm profitability</w:t>
      </w:r>
      <w:r w:rsidRPr="00B177B4">
        <w:rPr>
          <w:rFonts w:asciiTheme="majorBidi" w:eastAsiaTheme="minorHAnsi" w:hAnsiTheme="majorBidi" w:cstheme="majorBidi"/>
          <w:sz w:val="24"/>
          <w:szCs w:val="24"/>
        </w:rPr>
        <w:t xml:space="preserve"> and </w:t>
      </w:r>
      <w:r w:rsidRPr="00B177B4">
        <w:rPr>
          <w:rFonts w:asciiTheme="majorBidi" w:hAnsiTheme="majorBidi" w:cstheme="majorBidi"/>
          <w:bCs/>
          <w:sz w:val="24"/>
          <w:szCs w:val="24"/>
        </w:rPr>
        <w:t>pollutant sector</w:t>
      </w:r>
      <w:r w:rsidRPr="00B177B4">
        <w:rPr>
          <w:rFonts w:asciiTheme="majorBidi" w:eastAsiaTheme="minorHAnsi" w:hAnsiTheme="majorBidi" w:cstheme="majorBidi"/>
          <w:sz w:val="24"/>
          <w:szCs w:val="24"/>
        </w:rPr>
        <w:t>.</w:t>
      </w:r>
      <w:r w:rsidRPr="00B177B4">
        <w:rPr>
          <w:rFonts w:asciiTheme="majorBidi" w:hAnsiTheme="majorBidi" w:cstheme="majorBidi"/>
          <w:bCs/>
          <w:iCs/>
          <w:strike/>
          <w:sz w:val="24"/>
          <w:szCs w:val="24"/>
        </w:rPr>
        <w:t xml:space="preserve"> </w:t>
      </w:r>
    </w:p>
    <w:p w:rsidR="00931690" w:rsidRDefault="00931690" w:rsidP="00F45517">
      <w:pPr>
        <w:ind w:left="425" w:right="845"/>
        <w:contextualSpacing/>
        <w:jc w:val="both"/>
        <w:rPr>
          <w:rFonts w:asciiTheme="majorBidi" w:hAnsiTheme="majorBidi" w:cstheme="majorBidi"/>
          <w:bCs/>
          <w:iCs/>
          <w:sz w:val="24"/>
          <w:szCs w:val="24"/>
        </w:rPr>
      </w:pPr>
      <w:r w:rsidRPr="00B177B4">
        <w:rPr>
          <w:rFonts w:asciiTheme="majorBidi" w:hAnsiTheme="majorBidi" w:cstheme="majorBidi"/>
          <w:bCs/>
          <w:iCs/>
          <w:sz w:val="24"/>
          <w:szCs w:val="24"/>
        </w:rPr>
        <w:t xml:space="preserve">The firm size </w:t>
      </w:r>
      <w:r w:rsidRPr="00B177B4">
        <w:rPr>
          <w:rFonts w:asciiTheme="majorBidi" w:hAnsiTheme="majorBidi" w:cstheme="majorBidi"/>
          <w:bCs/>
          <w:i/>
          <w:iCs/>
          <w:sz w:val="24"/>
          <w:szCs w:val="24"/>
        </w:rPr>
        <w:t>(FIRM_SIZE),</w:t>
      </w:r>
      <w:r w:rsidRPr="00B177B4">
        <w:rPr>
          <w:rFonts w:asciiTheme="majorBidi" w:hAnsiTheme="majorBidi" w:cstheme="majorBidi"/>
          <w:bCs/>
          <w:iCs/>
          <w:sz w:val="24"/>
          <w:szCs w:val="24"/>
        </w:rPr>
        <w:t xml:space="preserve"> </w:t>
      </w:r>
      <w:r w:rsidRPr="00503F52">
        <w:rPr>
          <w:rFonts w:asciiTheme="majorBidi" w:hAnsiTheme="majorBidi" w:cstheme="majorBidi"/>
          <w:bCs/>
          <w:iCs/>
          <w:sz w:val="24"/>
          <w:szCs w:val="24"/>
        </w:rPr>
        <w:t xml:space="preserve">is measured by the natural logarithm of total assets and has a significant impact on tax avoidance (see Eddy et al., </w:t>
      </w:r>
      <w:proofErr w:type="gramStart"/>
      <w:r w:rsidRPr="00503F52">
        <w:rPr>
          <w:rFonts w:asciiTheme="majorBidi" w:hAnsiTheme="majorBidi" w:cstheme="majorBidi"/>
          <w:bCs/>
          <w:iCs/>
          <w:sz w:val="24"/>
          <w:szCs w:val="24"/>
        </w:rPr>
        <w:t>2020;</w:t>
      </w:r>
      <w:proofErr w:type="gramEnd"/>
      <w:r w:rsidRPr="00503F52">
        <w:rPr>
          <w:rFonts w:asciiTheme="majorBidi" w:hAnsiTheme="majorBidi" w:cstheme="majorBidi"/>
          <w:bCs/>
          <w:iCs/>
          <w:sz w:val="24"/>
          <w:szCs w:val="24"/>
        </w:rPr>
        <w:t xml:space="preserve"> Hossain et al., 2024). This paper controls for firm size because of its possible effect on tax behavior. Some authors argue that large firms are more likely to avoid political costs, regulatory action and media attention by paying their fair share of tax (Hanlon and Slemrod, </w:t>
      </w:r>
      <w:proofErr w:type="gramStart"/>
      <w:r w:rsidRPr="00503F52">
        <w:rPr>
          <w:rFonts w:asciiTheme="majorBidi" w:hAnsiTheme="majorBidi" w:cstheme="majorBidi"/>
          <w:bCs/>
          <w:iCs/>
          <w:sz w:val="24"/>
          <w:szCs w:val="24"/>
        </w:rPr>
        <w:t>2010;</w:t>
      </w:r>
      <w:proofErr w:type="gramEnd"/>
      <w:r w:rsidRPr="00503F52">
        <w:rPr>
          <w:rFonts w:asciiTheme="majorBidi" w:hAnsiTheme="majorBidi" w:cstheme="majorBidi"/>
          <w:bCs/>
          <w:iCs/>
          <w:sz w:val="24"/>
          <w:szCs w:val="24"/>
        </w:rPr>
        <w:t xml:space="preserve"> Minnick and Noga, 2010). However, others argue that large firms can use their political and economic resources to minimize tax expenditures (Richardson and Lanis, </w:t>
      </w:r>
      <w:proofErr w:type="gramStart"/>
      <w:r w:rsidRPr="00503F52">
        <w:rPr>
          <w:rFonts w:asciiTheme="majorBidi" w:hAnsiTheme="majorBidi" w:cstheme="majorBidi"/>
          <w:bCs/>
          <w:iCs/>
          <w:sz w:val="24"/>
          <w:szCs w:val="24"/>
        </w:rPr>
        <w:t>2007;</w:t>
      </w:r>
      <w:proofErr w:type="gramEnd"/>
      <w:r w:rsidRPr="00503F52">
        <w:rPr>
          <w:rFonts w:asciiTheme="majorBidi" w:hAnsiTheme="majorBidi" w:cstheme="majorBidi"/>
          <w:bCs/>
          <w:iCs/>
          <w:sz w:val="24"/>
          <w:szCs w:val="24"/>
        </w:rPr>
        <w:t xml:space="preserve"> Lanis and Richardson, 2012, 2018).</w:t>
      </w:r>
      <w:r>
        <w:rPr>
          <w:rFonts w:asciiTheme="majorBidi" w:hAnsiTheme="majorBidi" w:cstheme="majorBidi"/>
          <w:bCs/>
          <w:iCs/>
          <w:sz w:val="24"/>
          <w:szCs w:val="24"/>
        </w:rPr>
        <w:t xml:space="preserve"> </w:t>
      </w:r>
    </w:p>
    <w:p w:rsidR="00931690" w:rsidRPr="00BF41C4" w:rsidRDefault="00931690" w:rsidP="00F45517">
      <w:pPr>
        <w:ind w:left="425" w:right="845"/>
        <w:contextualSpacing/>
        <w:jc w:val="both"/>
        <w:rPr>
          <w:rFonts w:asciiTheme="majorBidi" w:hAnsiTheme="majorBidi" w:cstheme="majorBidi"/>
          <w:bCs/>
          <w:iCs/>
          <w:sz w:val="24"/>
          <w:szCs w:val="24"/>
        </w:rPr>
      </w:pPr>
      <w:r w:rsidRPr="00B177B4">
        <w:rPr>
          <w:rFonts w:asciiTheme="majorBidi" w:eastAsiaTheme="minorHAnsi" w:hAnsiTheme="majorBidi" w:cstheme="majorBidi"/>
          <w:sz w:val="24"/>
          <w:szCs w:val="24"/>
        </w:rPr>
        <w:t>We also include leverage as the control variable</w:t>
      </w:r>
      <w:r w:rsidRPr="00B177B4">
        <w:rPr>
          <w:rFonts w:asciiTheme="majorBidi" w:hAnsiTheme="majorBidi" w:cstheme="majorBidi"/>
          <w:bCs/>
          <w:iCs/>
          <w:sz w:val="24"/>
          <w:szCs w:val="24"/>
        </w:rPr>
        <w:t xml:space="preserve">. Leverage </w:t>
      </w:r>
      <w:r w:rsidRPr="00B177B4">
        <w:rPr>
          <w:rFonts w:asciiTheme="majorBidi" w:hAnsiTheme="majorBidi" w:cstheme="majorBidi"/>
          <w:bCs/>
          <w:i/>
          <w:iCs/>
          <w:sz w:val="24"/>
          <w:szCs w:val="24"/>
        </w:rPr>
        <w:t>(FIRM_LEV)</w:t>
      </w:r>
      <w:r w:rsidRPr="00B177B4">
        <w:rPr>
          <w:rFonts w:asciiTheme="majorBidi" w:hAnsiTheme="majorBidi" w:cstheme="majorBidi"/>
          <w:bCs/>
          <w:iCs/>
          <w:sz w:val="24"/>
          <w:szCs w:val="24"/>
        </w:rPr>
        <w:t xml:space="preserve"> </w:t>
      </w:r>
      <w:r w:rsidRPr="007C3513">
        <w:rPr>
          <w:rFonts w:asciiTheme="majorBidi" w:hAnsiTheme="majorBidi" w:cstheme="majorBidi"/>
          <w:bCs/>
          <w:iCs/>
          <w:sz w:val="24"/>
          <w:szCs w:val="24"/>
        </w:rPr>
        <w:t xml:space="preserve">is measured by the ratio of total liabilities to total assets.  It also controls leverage, as interest payments reduce taxable income. We therefore expect a high level of debt to be positively associated with tax avoidance. Several previous studies report a positive association between leverage and tax </w:t>
      </w:r>
      <w:r w:rsidRPr="00BF41C4">
        <w:rPr>
          <w:rFonts w:asciiTheme="majorBidi" w:hAnsiTheme="majorBidi" w:cstheme="majorBidi"/>
          <w:bCs/>
          <w:iCs/>
          <w:sz w:val="24"/>
          <w:szCs w:val="24"/>
        </w:rPr>
        <w:t>avoidance/</w:t>
      </w:r>
      <w:r w:rsidRPr="00BF41C4">
        <w:t xml:space="preserve"> </w:t>
      </w:r>
      <w:r w:rsidRPr="00BF41C4">
        <w:rPr>
          <w:rFonts w:asciiTheme="majorBidi" w:hAnsiTheme="majorBidi" w:cstheme="majorBidi"/>
          <w:bCs/>
          <w:iCs/>
          <w:sz w:val="24"/>
          <w:szCs w:val="24"/>
        </w:rPr>
        <w:t xml:space="preserve">tax aggressiveness (Lanis and Richardson, 2012, </w:t>
      </w:r>
      <w:proofErr w:type="gramStart"/>
      <w:r w:rsidRPr="00BF41C4">
        <w:rPr>
          <w:rFonts w:asciiTheme="majorBidi" w:hAnsiTheme="majorBidi" w:cstheme="majorBidi"/>
          <w:bCs/>
          <w:iCs/>
          <w:sz w:val="24"/>
          <w:szCs w:val="24"/>
        </w:rPr>
        <w:t>2018;</w:t>
      </w:r>
      <w:proofErr w:type="gramEnd"/>
      <w:r w:rsidRPr="00BF41C4">
        <w:rPr>
          <w:rFonts w:asciiTheme="majorBidi" w:hAnsiTheme="majorBidi" w:cstheme="majorBidi"/>
          <w:bCs/>
          <w:iCs/>
          <w:sz w:val="24"/>
          <w:szCs w:val="24"/>
        </w:rPr>
        <w:t xml:space="preserve"> Ortas and Gallego-Alvarez, 2020). </w:t>
      </w:r>
    </w:p>
    <w:p w:rsidR="00931690" w:rsidRPr="00BF41C4" w:rsidRDefault="00931690" w:rsidP="00F45517">
      <w:pPr>
        <w:ind w:left="425" w:right="845"/>
        <w:contextualSpacing/>
        <w:jc w:val="both"/>
        <w:rPr>
          <w:rFonts w:asciiTheme="majorBidi" w:eastAsiaTheme="minorHAnsi" w:hAnsiTheme="majorBidi" w:cstheme="majorBidi"/>
          <w:sz w:val="24"/>
          <w:szCs w:val="24"/>
        </w:rPr>
      </w:pPr>
      <w:r w:rsidRPr="00BF41C4">
        <w:rPr>
          <w:rFonts w:asciiTheme="majorBidi" w:eastAsiaTheme="minorHAnsi" w:hAnsiTheme="majorBidi" w:cstheme="majorBidi"/>
          <w:sz w:val="24"/>
          <w:szCs w:val="24"/>
        </w:rPr>
        <w:t xml:space="preserve">In addition, return on assets </w:t>
      </w:r>
      <w:r w:rsidRPr="00BF41C4">
        <w:rPr>
          <w:rFonts w:asciiTheme="majorBidi" w:eastAsiaTheme="minorHAnsi" w:hAnsiTheme="majorBidi" w:cstheme="majorBidi"/>
          <w:i/>
          <w:sz w:val="24"/>
          <w:szCs w:val="24"/>
        </w:rPr>
        <w:t>(ROA),</w:t>
      </w:r>
      <w:r w:rsidRPr="00BF41C4">
        <w:rPr>
          <w:rFonts w:asciiTheme="majorBidi" w:eastAsiaTheme="minorHAnsi" w:hAnsiTheme="majorBidi" w:cstheme="majorBidi"/>
          <w:sz w:val="24"/>
          <w:szCs w:val="24"/>
        </w:rPr>
        <w:t xml:space="preserve"> Calculated by dividing net income by total assets, it serves as an indicator of a company's profitability. According to Toumi et al. (2022), firms with very high performance and growth are less likely to engage in tax avoidance, in contrast to firms with lower performance and growth. We assume a negative impact on tax avoidance. </w:t>
      </w:r>
    </w:p>
    <w:p w:rsidR="00931690" w:rsidRDefault="00931690" w:rsidP="00F45517">
      <w:pPr>
        <w:ind w:left="425" w:right="845"/>
        <w:contextualSpacing/>
        <w:jc w:val="both"/>
        <w:rPr>
          <w:rFonts w:asciiTheme="majorBidi" w:hAnsiTheme="majorBidi" w:cstheme="majorBidi"/>
          <w:bCs/>
          <w:iCs/>
          <w:sz w:val="24"/>
          <w:szCs w:val="24"/>
        </w:rPr>
      </w:pPr>
      <w:r w:rsidRPr="00BF41C4">
        <w:rPr>
          <w:rFonts w:asciiTheme="majorBidi" w:eastAsiaTheme="minorHAnsi" w:hAnsiTheme="majorBidi" w:cstheme="majorBidi"/>
          <w:sz w:val="24"/>
          <w:szCs w:val="24"/>
        </w:rPr>
        <w:t>We also included the variable</w:t>
      </w:r>
      <w:r w:rsidRPr="00BF41C4">
        <w:rPr>
          <w:rFonts w:asciiTheme="majorBidi" w:hAnsiTheme="majorBidi" w:cstheme="majorBidi"/>
          <w:bCs/>
          <w:iCs/>
          <w:sz w:val="24"/>
          <w:szCs w:val="24"/>
        </w:rPr>
        <w:t xml:space="preserve"> “Property, plant and equipment</w:t>
      </w:r>
      <w:r w:rsidRPr="00B177B4">
        <w:rPr>
          <w:rFonts w:asciiTheme="majorBidi" w:hAnsiTheme="majorBidi" w:cstheme="majorBidi"/>
          <w:bCs/>
          <w:iCs/>
          <w:sz w:val="24"/>
          <w:szCs w:val="24"/>
        </w:rPr>
        <w:t>”</w:t>
      </w:r>
      <w:r w:rsidRPr="00B177B4">
        <w:rPr>
          <w:rFonts w:asciiTheme="majorBidi" w:eastAsiaTheme="minorHAnsi" w:hAnsiTheme="majorBidi" w:cstheme="majorBidi"/>
          <w:sz w:val="24"/>
          <w:szCs w:val="24"/>
        </w:rPr>
        <w:t xml:space="preserve"> </w:t>
      </w:r>
      <w:r w:rsidRPr="00695168">
        <w:rPr>
          <w:rFonts w:asciiTheme="majorBidi" w:hAnsiTheme="majorBidi" w:cstheme="majorBidi"/>
          <w:bCs/>
          <w:i/>
          <w:iCs/>
          <w:sz w:val="24"/>
          <w:szCs w:val="24"/>
        </w:rPr>
        <w:t>(PPE)</w:t>
      </w:r>
      <w:r w:rsidRPr="00B177B4">
        <w:rPr>
          <w:rFonts w:asciiTheme="majorBidi" w:eastAsiaTheme="minorHAnsi" w:hAnsiTheme="majorBidi" w:cstheme="majorBidi"/>
          <w:sz w:val="24"/>
          <w:szCs w:val="24"/>
        </w:rPr>
        <w:t xml:space="preserve">, </w:t>
      </w:r>
      <w:r w:rsidRPr="00613D90">
        <w:rPr>
          <w:rFonts w:asciiTheme="majorBidi" w:eastAsiaTheme="minorHAnsi" w:hAnsiTheme="majorBidi" w:cstheme="majorBidi"/>
          <w:sz w:val="24"/>
          <w:szCs w:val="24"/>
        </w:rPr>
        <w:t>is calculated by dividing net income by total assets, and serves as an indicator of a company's profitability.</w:t>
      </w:r>
      <w:r>
        <w:rPr>
          <w:rFonts w:asciiTheme="majorBidi" w:eastAsiaTheme="minorHAnsi" w:hAnsiTheme="majorBidi" w:cstheme="majorBidi"/>
          <w:sz w:val="24"/>
          <w:szCs w:val="24"/>
        </w:rPr>
        <w:t xml:space="preserve"> </w:t>
      </w:r>
      <w:r w:rsidRPr="00B177B4">
        <w:rPr>
          <w:rFonts w:asciiTheme="majorBidi" w:hAnsiTheme="majorBidi" w:cstheme="majorBidi"/>
          <w:bCs/>
          <w:iCs/>
          <w:sz w:val="24"/>
          <w:szCs w:val="24"/>
        </w:rPr>
        <w:t xml:space="preserve">Furthermore, </w:t>
      </w:r>
      <w:r w:rsidRPr="00362174">
        <w:rPr>
          <w:rFonts w:asciiTheme="majorBidi" w:hAnsiTheme="majorBidi" w:cstheme="majorBidi"/>
          <w:bCs/>
          <w:iCs/>
          <w:sz w:val="24"/>
          <w:szCs w:val="24"/>
        </w:rPr>
        <w:t xml:space="preserve">Cash flow (CF), </w:t>
      </w:r>
      <w:r>
        <w:rPr>
          <w:rFonts w:asciiTheme="majorBidi" w:hAnsiTheme="majorBidi" w:cstheme="majorBidi"/>
          <w:bCs/>
          <w:iCs/>
          <w:sz w:val="24"/>
          <w:szCs w:val="24"/>
        </w:rPr>
        <w:t xml:space="preserve">is </w:t>
      </w:r>
      <w:r w:rsidRPr="00362174">
        <w:rPr>
          <w:rFonts w:asciiTheme="majorBidi" w:hAnsiTheme="majorBidi" w:cstheme="majorBidi"/>
          <w:bCs/>
          <w:iCs/>
          <w:sz w:val="24"/>
          <w:szCs w:val="24"/>
        </w:rPr>
        <w:t xml:space="preserve">cash flow from operating </w:t>
      </w:r>
      <w:r w:rsidRPr="00362174">
        <w:rPr>
          <w:rFonts w:asciiTheme="majorBidi" w:hAnsiTheme="majorBidi" w:cstheme="majorBidi"/>
          <w:bCs/>
          <w:iCs/>
          <w:sz w:val="24"/>
          <w:szCs w:val="24"/>
        </w:rPr>
        <w:lastRenderedPageBreak/>
        <w:t>activities divided by total assets.</w:t>
      </w:r>
      <w:r>
        <w:rPr>
          <w:rFonts w:asciiTheme="majorBidi" w:hAnsiTheme="majorBidi" w:cstheme="majorBidi"/>
          <w:bCs/>
          <w:iCs/>
          <w:sz w:val="24"/>
          <w:szCs w:val="24"/>
        </w:rPr>
        <w:t xml:space="preserve"> </w:t>
      </w:r>
    </w:p>
    <w:p w:rsidR="00931690" w:rsidRDefault="00931690" w:rsidP="00F45517">
      <w:pPr>
        <w:ind w:left="425" w:right="845"/>
        <w:contextualSpacing/>
        <w:jc w:val="both"/>
        <w:rPr>
          <w:rFonts w:asciiTheme="majorBidi" w:hAnsiTheme="majorBidi" w:cstheme="majorBidi"/>
          <w:bCs/>
          <w:iCs/>
          <w:sz w:val="24"/>
          <w:szCs w:val="24"/>
        </w:rPr>
      </w:pPr>
      <w:r>
        <w:rPr>
          <w:rFonts w:asciiTheme="majorBidi" w:hAnsiTheme="majorBidi" w:cstheme="majorBidi"/>
          <w:bCs/>
          <w:iCs/>
          <w:sz w:val="24"/>
          <w:szCs w:val="24"/>
        </w:rPr>
        <w:t xml:space="preserve">Indeed, </w:t>
      </w:r>
      <w:r w:rsidRPr="000438B4">
        <w:rPr>
          <w:rFonts w:asciiTheme="majorBidi" w:hAnsiTheme="majorBidi" w:cstheme="majorBidi"/>
          <w:bCs/>
          <w:iCs/>
          <w:sz w:val="24"/>
          <w:szCs w:val="24"/>
        </w:rPr>
        <w:t xml:space="preserve">Market-to-book value ratio </w:t>
      </w:r>
      <w:r w:rsidRPr="0075125D">
        <w:rPr>
          <w:rFonts w:asciiTheme="majorBidi" w:hAnsiTheme="majorBidi" w:cstheme="majorBidi"/>
          <w:bCs/>
          <w:i/>
          <w:iCs/>
          <w:sz w:val="24"/>
          <w:szCs w:val="24"/>
        </w:rPr>
        <w:t>(MTBV),</w:t>
      </w:r>
      <w:r w:rsidRPr="000438B4">
        <w:rPr>
          <w:rFonts w:asciiTheme="majorBidi" w:hAnsiTheme="majorBidi" w:cstheme="majorBidi"/>
          <w:bCs/>
          <w:iCs/>
          <w:sz w:val="24"/>
          <w:szCs w:val="24"/>
        </w:rPr>
        <w:t xml:space="preserve"> this ratio is considered an important predictor of company-level performance in all countries and in almost all categories (Cakici and Topyan, 2014). This measure is also more oriented towards shareholder objectives (Sarkar and Sarkar, 2000). Following previous research (Bravo, </w:t>
      </w:r>
      <w:proofErr w:type="gramStart"/>
      <w:r w:rsidRPr="000438B4">
        <w:rPr>
          <w:rFonts w:asciiTheme="majorBidi" w:hAnsiTheme="majorBidi" w:cstheme="majorBidi"/>
          <w:bCs/>
          <w:iCs/>
          <w:sz w:val="24"/>
          <w:szCs w:val="24"/>
        </w:rPr>
        <w:t>2017;</w:t>
      </w:r>
      <w:proofErr w:type="gramEnd"/>
      <w:r w:rsidRPr="000438B4">
        <w:rPr>
          <w:rFonts w:asciiTheme="majorBidi" w:hAnsiTheme="majorBidi" w:cstheme="majorBidi"/>
          <w:bCs/>
          <w:iCs/>
          <w:sz w:val="24"/>
          <w:szCs w:val="24"/>
        </w:rPr>
        <w:t xml:space="preserve"> Abdi et al., 2022), we define the market-to-book ratio as the market value of equity divided by its book value. When the ratio is below 1, the market price is lower than the book value, and companies tend to be in constant difficulty. Conversely, a ratio greater than 1 is associated with high, sustainable profitability. In other words, a negative difference between market value and book value is an indicator of potential impairment, especially if this difference is maintained over time. On the other hand, when market value is higher than book value, this indicates the potential capacity to generate good profits or an increase in value for the company and its shareholders.</w:t>
      </w:r>
    </w:p>
    <w:p w:rsidR="00931690" w:rsidRPr="004D586E" w:rsidRDefault="00931690" w:rsidP="00F45517">
      <w:pPr>
        <w:ind w:left="425" w:right="845"/>
        <w:contextualSpacing/>
        <w:jc w:val="both"/>
        <w:rPr>
          <w:rFonts w:asciiTheme="majorBidi" w:hAnsiTheme="majorBidi" w:cstheme="majorBidi"/>
          <w:bCs/>
          <w:iCs/>
          <w:sz w:val="24"/>
          <w:szCs w:val="24"/>
        </w:rPr>
      </w:pPr>
      <w:r w:rsidRPr="004D586E">
        <w:rPr>
          <w:rFonts w:asciiTheme="majorBidi" w:hAnsiTheme="majorBidi" w:cstheme="majorBidi"/>
          <w:bCs/>
          <w:iCs/>
          <w:sz w:val="24"/>
          <w:szCs w:val="24"/>
        </w:rPr>
        <w:t xml:space="preserve">In addition, the legal system (LEG_SYS) measured in each country by a dummy variable taking the value </w:t>
      </w:r>
      <w:r>
        <w:rPr>
          <w:rFonts w:asciiTheme="majorBidi" w:hAnsiTheme="majorBidi" w:cstheme="majorBidi"/>
          <w:bCs/>
          <w:iCs/>
          <w:sz w:val="24"/>
          <w:szCs w:val="24"/>
        </w:rPr>
        <w:t>0</w:t>
      </w:r>
      <w:r w:rsidRPr="004D586E">
        <w:rPr>
          <w:rFonts w:asciiTheme="majorBidi" w:hAnsiTheme="majorBidi" w:cstheme="majorBidi"/>
          <w:bCs/>
          <w:iCs/>
          <w:sz w:val="24"/>
          <w:szCs w:val="24"/>
        </w:rPr>
        <w:t xml:space="preserve"> if the country belongs to the “Civil Law” and </w:t>
      </w:r>
      <w:r>
        <w:rPr>
          <w:rFonts w:asciiTheme="majorBidi" w:hAnsiTheme="majorBidi" w:cstheme="majorBidi"/>
          <w:bCs/>
          <w:iCs/>
          <w:sz w:val="24"/>
          <w:szCs w:val="24"/>
        </w:rPr>
        <w:t>1</w:t>
      </w:r>
      <w:r w:rsidRPr="004D586E">
        <w:rPr>
          <w:rFonts w:asciiTheme="majorBidi" w:hAnsiTheme="majorBidi" w:cstheme="majorBidi"/>
          <w:bCs/>
          <w:iCs/>
          <w:sz w:val="24"/>
          <w:szCs w:val="24"/>
        </w:rPr>
        <w:t xml:space="preserve"> if it belongs to th</w:t>
      </w:r>
      <w:r>
        <w:rPr>
          <w:rFonts w:asciiTheme="majorBidi" w:hAnsiTheme="majorBidi" w:cstheme="majorBidi"/>
          <w:bCs/>
          <w:iCs/>
          <w:sz w:val="24"/>
          <w:szCs w:val="24"/>
        </w:rPr>
        <w:t>e “Written Law” (Fowowe</w:t>
      </w:r>
      <w:r w:rsidRPr="004D586E">
        <w:rPr>
          <w:rFonts w:asciiTheme="majorBidi" w:hAnsiTheme="majorBidi" w:cstheme="majorBidi"/>
          <w:bCs/>
          <w:iCs/>
          <w:sz w:val="24"/>
          <w:szCs w:val="24"/>
        </w:rPr>
        <w:t>, 2013).</w:t>
      </w:r>
    </w:p>
    <w:p w:rsidR="00931690" w:rsidRDefault="00931690" w:rsidP="00F45517">
      <w:pPr>
        <w:ind w:left="425" w:right="845"/>
        <w:contextualSpacing/>
        <w:jc w:val="both"/>
        <w:rPr>
          <w:rFonts w:asciiTheme="majorBidi" w:hAnsiTheme="majorBidi" w:cstheme="majorBidi"/>
          <w:bCs/>
          <w:iCs/>
          <w:sz w:val="24"/>
          <w:szCs w:val="24"/>
        </w:rPr>
      </w:pPr>
      <w:r w:rsidRPr="004D586E">
        <w:rPr>
          <w:rFonts w:asciiTheme="majorBidi" w:hAnsiTheme="majorBidi" w:cstheme="majorBidi"/>
          <w:bCs/>
          <w:iCs/>
          <w:sz w:val="24"/>
          <w:szCs w:val="24"/>
        </w:rPr>
        <w:t>In addition, the coronavirus (COVID-19) is a dummy variable that takes the value 1 if the study period is 2020, and 0 otherwise (Bae et al. 2021).</w:t>
      </w:r>
    </w:p>
    <w:p w:rsidR="00D75350" w:rsidRDefault="00931690" w:rsidP="00F45517">
      <w:pPr>
        <w:ind w:left="425" w:right="845"/>
        <w:contextualSpacing/>
        <w:jc w:val="both"/>
        <w:rPr>
          <w:sz w:val="24"/>
          <w:szCs w:val="24"/>
        </w:rPr>
      </w:pPr>
      <w:r w:rsidRPr="00B177B4">
        <w:rPr>
          <w:sz w:val="24"/>
          <w:szCs w:val="24"/>
        </w:rPr>
        <w:t xml:space="preserve">All variables of the model are defined in Table </w:t>
      </w:r>
      <w:r>
        <w:rPr>
          <w:sz w:val="24"/>
          <w:szCs w:val="24"/>
        </w:rPr>
        <w:t>2</w:t>
      </w:r>
      <w:r w:rsidRPr="00B177B4">
        <w:rPr>
          <w:sz w:val="24"/>
          <w:szCs w:val="24"/>
        </w:rPr>
        <w:t>.</w:t>
      </w:r>
      <w:r w:rsidR="00F45517">
        <w:rPr>
          <w:sz w:val="24"/>
          <w:szCs w:val="24"/>
        </w:rPr>
        <w:t xml:space="preserve"> </w:t>
      </w:r>
    </w:p>
    <w:tbl>
      <w:tblPr>
        <w:tblpPr w:leftFromText="141" w:rightFromText="141" w:vertAnchor="text" w:tblpX="534" w:tblpY="1279"/>
        <w:tblW w:w="7905" w:type="dxa"/>
        <w:tblLayout w:type="fixed"/>
        <w:tblLook w:val="04A0" w:firstRow="1" w:lastRow="0" w:firstColumn="1" w:lastColumn="0" w:noHBand="0" w:noVBand="1"/>
      </w:tblPr>
      <w:tblGrid>
        <w:gridCol w:w="1913"/>
        <w:gridCol w:w="1314"/>
        <w:gridCol w:w="2835"/>
        <w:gridCol w:w="1843"/>
      </w:tblGrid>
      <w:tr w:rsidR="00F45517" w:rsidRPr="00BC43C6" w:rsidTr="00DE6293">
        <w:trPr>
          <w:trHeight w:val="249"/>
        </w:trPr>
        <w:tc>
          <w:tcPr>
            <w:tcW w:w="7905" w:type="dxa"/>
            <w:gridSpan w:val="4"/>
            <w:tcBorders>
              <w:left w:val="nil"/>
              <w:bottom w:val="single" w:sz="4" w:space="0" w:color="auto"/>
              <w:right w:val="nil"/>
            </w:tcBorders>
          </w:tcPr>
          <w:p w:rsidR="00F45517" w:rsidRPr="00BC43C6" w:rsidRDefault="00F45517" w:rsidP="00DE6293">
            <w:pPr>
              <w:ind w:left="425"/>
              <w:rPr>
                <w:sz w:val="24"/>
                <w:szCs w:val="24"/>
              </w:rPr>
            </w:pPr>
            <w:r w:rsidRPr="00B177B4">
              <w:rPr>
                <w:rFonts w:asciiTheme="majorBidi" w:eastAsia="Calibri" w:hAnsiTheme="majorBidi" w:cstheme="majorBidi"/>
                <w:b/>
                <w:sz w:val="24"/>
                <w:szCs w:val="24"/>
              </w:rPr>
              <w:t xml:space="preserve">Table </w:t>
            </w:r>
            <w:r>
              <w:rPr>
                <w:rFonts w:asciiTheme="majorBidi" w:eastAsia="Calibri" w:hAnsiTheme="majorBidi" w:cstheme="majorBidi"/>
                <w:b/>
                <w:sz w:val="24"/>
                <w:szCs w:val="24"/>
              </w:rPr>
              <w:t>2</w:t>
            </w:r>
            <w:r w:rsidRPr="00B177B4">
              <w:rPr>
                <w:rFonts w:asciiTheme="majorBidi" w:eastAsia="Calibri" w:hAnsiTheme="majorBidi" w:cstheme="majorBidi"/>
                <w:b/>
                <w:sz w:val="24"/>
                <w:szCs w:val="24"/>
              </w:rPr>
              <w:t>.</w:t>
            </w:r>
            <w:r w:rsidRPr="00B177B4">
              <w:rPr>
                <w:rFonts w:asciiTheme="majorBidi" w:eastAsia="Calibri" w:hAnsiTheme="majorBidi" w:cstheme="majorBidi"/>
                <w:sz w:val="24"/>
                <w:szCs w:val="24"/>
              </w:rPr>
              <w:t xml:space="preserve"> Definitions</w:t>
            </w:r>
            <w:r w:rsidRPr="00B177B4">
              <w:rPr>
                <w:rFonts w:asciiTheme="majorBidi" w:hAnsiTheme="majorBidi" w:cstheme="majorBidi"/>
                <w:sz w:val="24"/>
                <w:szCs w:val="24"/>
              </w:rPr>
              <w:t xml:space="preserve"> and measurements of variables</w:t>
            </w:r>
          </w:p>
        </w:tc>
      </w:tr>
      <w:tr w:rsidR="00F45517" w:rsidRPr="00F10CFC" w:rsidTr="002601F3">
        <w:trPr>
          <w:trHeight w:val="249"/>
        </w:trPr>
        <w:tc>
          <w:tcPr>
            <w:tcW w:w="1913" w:type="dxa"/>
            <w:tcBorders>
              <w:top w:val="single" w:sz="4" w:space="0" w:color="auto"/>
              <w:left w:val="nil"/>
              <w:bottom w:val="single" w:sz="4" w:space="0" w:color="auto"/>
              <w:right w:val="nil"/>
            </w:tcBorders>
          </w:tcPr>
          <w:p w:rsidR="00F45517" w:rsidRPr="00F10CFC" w:rsidRDefault="00F45517" w:rsidP="00DE6293">
            <w:pPr>
              <w:tabs>
                <w:tab w:val="left" w:pos="1545"/>
              </w:tabs>
              <w:ind w:left="425"/>
              <w:rPr>
                <w:b/>
                <w:sz w:val="24"/>
                <w:szCs w:val="24"/>
              </w:rPr>
            </w:pPr>
            <w:r w:rsidRPr="00F10CFC">
              <w:rPr>
                <w:b/>
                <w:sz w:val="24"/>
                <w:szCs w:val="24"/>
              </w:rPr>
              <w:t>Variable</w:t>
            </w:r>
          </w:p>
        </w:tc>
        <w:tc>
          <w:tcPr>
            <w:tcW w:w="1314" w:type="dxa"/>
            <w:tcBorders>
              <w:top w:val="single" w:sz="4" w:space="0" w:color="auto"/>
              <w:left w:val="nil"/>
              <w:bottom w:val="single" w:sz="4" w:space="0" w:color="auto"/>
              <w:right w:val="nil"/>
            </w:tcBorders>
          </w:tcPr>
          <w:p w:rsidR="00F45517" w:rsidRPr="00F10CFC" w:rsidRDefault="00F45517" w:rsidP="00DE6293">
            <w:pPr>
              <w:ind w:left="425"/>
              <w:rPr>
                <w:b/>
                <w:sz w:val="24"/>
                <w:szCs w:val="24"/>
              </w:rPr>
            </w:pPr>
            <w:r w:rsidRPr="00F10CFC">
              <w:rPr>
                <w:b/>
                <w:sz w:val="24"/>
                <w:szCs w:val="24"/>
              </w:rPr>
              <w:t>Code</w:t>
            </w:r>
          </w:p>
        </w:tc>
        <w:tc>
          <w:tcPr>
            <w:tcW w:w="2835" w:type="dxa"/>
            <w:tcBorders>
              <w:top w:val="single" w:sz="4" w:space="0" w:color="auto"/>
              <w:left w:val="nil"/>
              <w:bottom w:val="single" w:sz="4" w:space="0" w:color="auto"/>
              <w:right w:val="nil"/>
            </w:tcBorders>
          </w:tcPr>
          <w:p w:rsidR="00F45517" w:rsidRPr="00F10CFC" w:rsidRDefault="00F45517" w:rsidP="00DE6293">
            <w:pPr>
              <w:ind w:left="425"/>
              <w:rPr>
                <w:b/>
                <w:sz w:val="24"/>
                <w:szCs w:val="24"/>
              </w:rPr>
            </w:pPr>
            <w:r w:rsidRPr="00F10CFC">
              <w:rPr>
                <w:b/>
                <w:sz w:val="24"/>
                <w:szCs w:val="24"/>
              </w:rPr>
              <w:t>Definition</w:t>
            </w:r>
          </w:p>
        </w:tc>
        <w:tc>
          <w:tcPr>
            <w:tcW w:w="1843" w:type="dxa"/>
            <w:tcBorders>
              <w:top w:val="single" w:sz="4" w:space="0" w:color="auto"/>
              <w:left w:val="nil"/>
              <w:bottom w:val="single" w:sz="4" w:space="0" w:color="auto"/>
              <w:right w:val="nil"/>
            </w:tcBorders>
          </w:tcPr>
          <w:p w:rsidR="00F45517" w:rsidRPr="00F10CFC" w:rsidRDefault="00F45517" w:rsidP="00DE6293">
            <w:pPr>
              <w:ind w:left="425"/>
              <w:rPr>
                <w:b/>
                <w:sz w:val="24"/>
                <w:szCs w:val="24"/>
              </w:rPr>
            </w:pPr>
            <w:r w:rsidRPr="00F10CFC">
              <w:rPr>
                <w:b/>
                <w:sz w:val="24"/>
                <w:szCs w:val="24"/>
              </w:rPr>
              <w:t>Source</w:t>
            </w:r>
          </w:p>
        </w:tc>
      </w:tr>
      <w:tr w:rsidR="00F45517" w:rsidRPr="00BC43C6" w:rsidTr="00DE6293">
        <w:trPr>
          <w:trHeight w:val="249"/>
        </w:trPr>
        <w:tc>
          <w:tcPr>
            <w:tcW w:w="7905" w:type="dxa"/>
            <w:gridSpan w:val="4"/>
            <w:tcBorders>
              <w:top w:val="single" w:sz="4" w:space="0" w:color="auto"/>
              <w:left w:val="nil"/>
              <w:bottom w:val="single" w:sz="4" w:space="0" w:color="auto"/>
              <w:right w:val="nil"/>
            </w:tcBorders>
            <w:hideMark/>
          </w:tcPr>
          <w:p w:rsidR="00F45517" w:rsidRPr="00F10CFC" w:rsidRDefault="00F45517" w:rsidP="00DE6293">
            <w:pPr>
              <w:ind w:left="425"/>
              <w:rPr>
                <w:b/>
                <w:sz w:val="24"/>
                <w:szCs w:val="24"/>
              </w:rPr>
            </w:pPr>
            <w:r w:rsidRPr="00F10CFC">
              <w:rPr>
                <w:b/>
                <w:sz w:val="24"/>
                <w:szCs w:val="24"/>
              </w:rPr>
              <w:t>Dependent variable</w:t>
            </w:r>
          </w:p>
        </w:tc>
      </w:tr>
      <w:tr w:rsidR="00F45517" w:rsidRPr="00BC43C6" w:rsidTr="002601F3">
        <w:trPr>
          <w:trHeight w:val="58"/>
        </w:trPr>
        <w:tc>
          <w:tcPr>
            <w:tcW w:w="1913" w:type="dxa"/>
            <w:tcBorders>
              <w:top w:val="single" w:sz="4" w:space="0" w:color="auto"/>
              <w:left w:val="nil"/>
              <w:right w:val="nil"/>
            </w:tcBorders>
            <w:hideMark/>
          </w:tcPr>
          <w:p w:rsidR="00F45517" w:rsidRPr="00BC43C6" w:rsidRDefault="00F45517" w:rsidP="00DE6293">
            <w:pPr>
              <w:ind w:left="425"/>
              <w:rPr>
                <w:sz w:val="24"/>
                <w:szCs w:val="24"/>
              </w:rPr>
            </w:pPr>
            <w:r>
              <w:rPr>
                <w:sz w:val="24"/>
                <w:szCs w:val="24"/>
              </w:rPr>
              <w:t>Effective tax rate</w:t>
            </w:r>
          </w:p>
        </w:tc>
        <w:tc>
          <w:tcPr>
            <w:tcW w:w="1314" w:type="dxa"/>
            <w:tcBorders>
              <w:top w:val="single" w:sz="4" w:space="0" w:color="auto"/>
              <w:left w:val="nil"/>
              <w:right w:val="nil"/>
            </w:tcBorders>
            <w:hideMark/>
          </w:tcPr>
          <w:p w:rsidR="00F45517" w:rsidRPr="00BC43C6" w:rsidRDefault="00F45517" w:rsidP="00DE6293">
            <w:pPr>
              <w:ind w:left="425"/>
              <w:rPr>
                <w:i/>
                <w:sz w:val="24"/>
                <w:szCs w:val="24"/>
              </w:rPr>
            </w:pPr>
            <w:r w:rsidRPr="00BC43C6">
              <w:rPr>
                <w:i/>
                <w:sz w:val="24"/>
                <w:szCs w:val="24"/>
              </w:rPr>
              <w:t>ETR</w:t>
            </w:r>
          </w:p>
        </w:tc>
        <w:tc>
          <w:tcPr>
            <w:tcW w:w="2835" w:type="dxa"/>
            <w:tcBorders>
              <w:top w:val="single" w:sz="4" w:space="0" w:color="auto"/>
              <w:left w:val="nil"/>
              <w:right w:val="nil"/>
            </w:tcBorders>
            <w:hideMark/>
          </w:tcPr>
          <w:p w:rsidR="00F45517" w:rsidRDefault="00F45517" w:rsidP="00DE6293">
            <w:pPr>
              <w:ind w:left="425"/>
              <w:rPr>
                <w:bCs/>
                <w:iCs/>
                <w:sz w:val="24"/>
                <w:szCs w:val="24"/>
              </w:rPr>
            </w:pPr>
            <w:r w:rsidRPr="005834CE">
              <w:rPr>
                <w:bCs/>
                <w:iCs/>
                <w:sz w:val="24"/>
                <w:szCs w:val="24"/>
              </w:rPr>
              <w:t>ETR is the ratio of a company's total tax burden to its pre-tax income in a given year.</w:t>
            </w:r>
          </w:p>
          <w:p w:rsidR="00F45517" w:rsidRPr="00BC43C6" w:rsidRDefault="00F45517" w:rsidP="00DE6293">
            <w:pPr>
              <w:ind w:left="425"/>
              <w:rPr>
                <w:sz w:val="24"/>
                <w:szCs w:val="24"/>
              </w:rPr>
            </w:pPr>
          </w:p>
        </w:tc>
        <w:tc>
          <w:tcPr>
            <w:tcW w:w="1843" w:type="dxa"/>
            <w:tcBorders>
              <w:top w:val="single" w:sz="4" w:space="0" w:color="auto"/>
              <w:left w:val="nil"/>
              <w:right w:val="nil"/>
            </w:tcBorders>
            <w:hideMark/>
          </w:tcPr>
          <w:p w:rsidR="00F45517" w:rsidRPr="00BC43C6" w:rsidRDefault="00F45517" w:rsidP="00DE6293">
            <w:pPr>
              <w:ind w:left="425"/>
              <w:rPr>
                <w:sz w:val="24"/>
                <w:szCs w:val="24"/>
              </w:rPr>
            </w:pPr>
            <w:r w:rsidRPr="00BC43C6">
              <w:rPr>
                <w:sz w:val="24"/>
                <w:szCs w:val="24"/>
              </w:rPr>
              <w:t>DataStream</w:t>
            </w:r>
          </w:p>
          <w:p w:rsidR="00F45517" w:rsidRPr="00BC43C6" w:rsidRDefault="00F45517" w:rsidP="00DE6293">
            <w:pPr>
              <w:ind w:left="425"/>
              <w:rPr>
                <w:sz w:val="24"/>
                <w:szCs w:val="24"/>
              </w:rPr>
            </w:pPr>
          </w:p>
        </w:tc>
      </w:tr>
      <w:tr w:rsidR="00F45517" w:rsidRPr="00BC43C6" w:rsidTr="002601F3">
        <w:trPr>
          <w:trHeight w:val="58"/>
        </w:trPr>
        <w:tc>
          <w:tcPr>
            <w:tcW w:w="1913" w:type="dxa"/>
            <w:tcBorders>
              <w:left w:val="nil"/>
              <w:bottom w:val="single" w:sz="4" w:space="0" w:color="auto"/>
              <w:right w:val="nil"/>
            </w:tcBorders>
          </w:tcPr>
          <w:p w:rsidR="00F45517" w:rsidRPr="00BC43C6" w:rsidRDefault="00F45517" w:rsidP="00DE6293">
            <w:pPr>
              <w:ind w:left="425"/>
              <w:rPr>
                <w:sz w:val="24"/>
                <w:szCs w:val="24"/>
              </w:rPr>
            </w:pPr>
            <w:r w:rsidRPr="005834CE">
              <w:rPr>
                <w:sz w:val="24"/>
                <w:szCs w:val="24"/>
              </w:rPr>
              <w:t>Cash effective tax rate</w:t>
            </w:r>
          </w:p>
        </w:tc>
        <w:tc>
          <w:tcPr>
            <w:tcW w:w="1314" w:type="dxa"/>
            <w:tcBorders>
              <w:left w:val="nil"/>
              <w:bottom w:val="single" w:sz="4" w:space="0" w:color="auto"/>
              <w:right w:val="nil"/>
            </w:tcBorders>
          </w:tcPr>
          <w:p w:rsidR="00F45517" w:rsidRPr="00BC43C6" w:rsidRDefault="00F45517" w:rsidP="00DE6293">
            <w:pPr>
              <w:ind w:left="425"/>
              <w:rPr>
                <w:i/>
                <w:sz w:val="24"/>
                <w:szCs w:val="24"/>
              </w:rPr>
            </w:pPr>
            <w:r w:rsidRPr="00BC43C6">
              <w:rPr>
                <w:i/>
                <w:sz w:val="24"/>
                <w:szCs w:val="24"/>
              </w:rPr>
              <w:t>CASH_ETR</w:t>
            </w:r>
          </w:p>
        </w:tc>
        <w:tc>
          <w:tcPr>
            <w:tcW w:w="2835" w:type="dxa"/>
            <w:tcBorders>
              <w:left w:val="nil"/>
              <w:bottom w:val="single" w:sz="4" w:space="0" w:color="auto"/>
              <w:right w:val="nil"/>
            </w:tcBorders>
          </w:tcPr>
          <w:p w:rsidR="00F45517" w:rsidRPr="00BC43C6" w:rsidRDefault="00F45517" w:rsidP="00DE6293">
            <w:pPr>
              <w:ind w:left="425"/>
              <w:rPr>
                <w:bCs/>
                <w:iCs/>
                <w:sz w:val="24"/>
                <w:szCs w:val="24"/>
              </w:rPr>
            </w:pPr>
            <w:r w:rsidRPr="005834CE">
              <w:rPr>
                <w:bCs/>
                <w:iCs/>
                <w:sz w:val="24"/>
                <w:szCs w:val="24"/>
              </w:rPr>
              <w:t>Cash ETR is the ratio of cash taxes paid to a company's pre-tax income in a given year.</w:t>
            </w:r>
          </w:p>
        </w:tc>
        <w:tc>
          <w:tcPr>
            <w:tcW w:w="1843" w:type="dxa"/>
            <w:tcBorders>
              <w:left w:val="nil"/>
              <w:bottom w:val="single" w:sz="4" w:space="0" w:color="auto"/>
              <w:right w:val="nil"/>
            </w:tcBorders>
          </w:tcPr>
          <w:p w:rsidR="00F45517" w:rsidRPr="00BC43C6" w:rsidRDefault="00F45517" w:rsidP="00DE6293">
            <w:pPr>
              <w:ind w:left="425"/>
              <w:rPr>
                <w:sz w:val="24"/>
                <w:szCs w:val="24"/>
              </w:rPr>
            </w:pPr>
            <w:r w:rsidRPr="00BC43C6">
              <w:rPr>
                <w:sz w:val="24"/>
                <w:szCs w:val="24"/>
              </w:rPr>
              <w:t>DataStream</w:t>
            </w:r>
          </w:p>
          <w:p w:rsidR="00F45517" w:rsidRPr="00BC43C6" w:rsidRDefault="00F45517" w:rsidP="00DE6293">
            <w:pPr>
              <w:ind w:left="425"/>
              <w:rPr>
                <w:sz w:val="24"/>
                <w:szCs w:val="24"/>
              </w:rPr>
            </w:pPr>
          </w:p>
        </w:tc>
      </w:tr>
      <w:tr w:rsidR="00F45517" w:rsidRPr="00BC43C6" w:rsidTr="00DE6293">
        <w:trPr>
          <w:trHeight w:val="337"/>
        </w:trPr>
        <w:tc>
          <w:tcPr>
            <w:tcW w:w="7905" w:type="dxa"/>
            <w:gridSpan w:val="4"/>
            <w:tcBorders>
              <w:top w:val="single" w:sz="4" w:space="0" w:color="auto"/>
              <w:left w:val="nil"/>
              <w:bottom w:val="single" w:sz="4" w:space="0" w:color="auto"/>
              <w:right w:val="nil"/>
            </w:tcBorders>
            <w:hideMark/>
          </w:tcPr>
          <w:p w:rsidR="00F45517" w:rsidRPr="00F10CFC" w:rsidRDefault="00F45517" w:rsidP="00DE6293">
            <w:pPr>
              <w:tabs>
                <w:tab w:val="left" w:pos="7224"/>
              </w:tabs>
              <w:ind w:left="425"/>
              <w:rPr>
                <w:b/>
                <w:sz w:val="24"/>
                <w:szCs w:val="24"/>
              </w:rPr>
            </w:pPr>
            <w:r w:rsidRPr="00F10CFC">
              <w:rPr>
                <w:b/>
                <w:sz w:val="24"/>
                <w:szCs w:val="24"/>
              </w:rPr>
              <w:t>Independent variable</w:t>
            </w:r>
          </w:p>
        </w:tc>
      </w:tr>
      <w:tr w:rsidR="00F45517" w:rsidRPr="00BC43C6" w:rsidTr="002601F3">
        <w:trPr>
          <w:trHeight w:val="239"/>
        </w:trPr>
        <w:tc>
          <w:tcPr>
            <w:tcW w:w="1913"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Pr>
                <w:sz w:val="24"/>
                <w:szCs w:val="24"/>
              </w:rPr>
              <w:t>Environmental transparency</w:t>
            </w:r>
          </w:p>
        </w:tc>
        <w:tc>
          <w:tcPr>
            <w:tcW w:w="1314" w:type="dxa"/>
            <w:tcBorders>
              <w:top w:val="single" w:sz="4" w:space="0" w:color="auto"/>
              <w:left w:val="nil"/>
              <w:bottom w:val="single" w:sz="4" w:space="0" w:color="auto"/>
              <w:right w:val="nil"/>
            </w:tcBorders>
            <w:hideMark/>
          </w:tcPr>
          <w:p w:rsidR="00F45517" w:rsidRPr="00BC43C6" w:rsidRDefault="00F45517" w:rsidP="00DE6293">
            <w:pPr>
              <w:ind w:left="425"/>
              <w:rPr>
                <w:i/>
                <w:sz w:val="24"/>
                <w:szCs w:val="24"/>
              </w:rPr>
            </w:pPr>
            <w:r>
              <w:rPr>
                <w:i/>
                <w:sz w:val="24"/>
                <w:szCs w:val="24"/>
              </w:rPr>
              <w:t>CED</w:t>
            </w:r>
          </w:p>
        </w:tc>
        <w:tc>
          <w:tcPr>
            <w:tcW w:w="2835" w:type="dxa"/>
            <w:tcBorders>
              <w:top w:val="single" w:sz="4" w:space="0" w:color="auto"/>
              <w:left w:val="nil"/>
              <w:bottom w:val="single" w:sz="4" w:space="0" w:color="auto"/>
              <w:right w:val="nil"/>
            </w:tcBorders>
            <w:hideMark/>
          </w:tcPr>
          <w:p w:rsidR="00F45517" w:rsidRPr="004D652A" w:rsidRDefault="00F45517" w:rsidP="00DE6293">
            <w:pPr>
              <w:ind w:left="425"/>
              <w:rPr>
                <w:sz w:val="24"/>
                <w:szCs w:val="24"/>
              </w:rPr>
            </w:pPr>
            <w:r w:rsidRPr="004D652A">
              <w:rPr>
                <w:sz w:val="24"/>
                <w:szCs w:val="24"/>
              </w:rPr>
              <w:t xml:space="preserve">Refinitiv’s Environmental Pillar score is the weighted average relative rating of a company based on the reported environmental information and the </w:t>
            </w:r>
            <w:r w:rsidRPr="004D652A">
              <w:rPr>
                <w:sz w:val="24"/>
                <w:szCs w:val="24"/>
              </w:rPr>
              <w:lastRenderedPageBreak/>
              <w:t>resulting three environmental category scores.</w:t>
            </w:r>
          </w:p>
        </w:tc>
        <w:tc>
          <w:tcPr>
            <w:tcW w:w="1843" w:type="dxa"/>
            <w:tcBorders>
              <w:top w:val="single" w:sz="4" w:space="0" w:color="auto"/>
              <w:left w:val="nil"/>
              <w:bottom w:val="single" w:sz="4" w:space="0" w:color="auto"/>
              <w:right w:val="nil"/>
            </w:tcBorders>
            <w:hideMark/>
          </w:tcPr>
          <w:p w:rsidR="00F45517" w:rsidRPr="00AB16F0" w:rsidRDefault="00F45517" w:rsidP="00DE6293">
            <w:pPr>
              <w:ind w:left="425"/>
              <w:rPr>
                <w:sz w:val="24"/>
                <w:szCs w:val="24"/>
              </w:rPr>
            </w:pPr>
            <w:proofErr w:type="gramStart"/>
            <w:r w:rsidRPr="00AB16F0">
              <w:rPr>
                <w:sz w:val="24"/>
                <w:szCs w:val="24"/>
              </w:rPr>
              <w:lastRenderedPageBreak/>
              <w:t>DataStream;</w:t>
            </w:r>
            <w:proofErr w:type="gramEnd"/>
            <w:r w:rsidRPr="00AB16F0">
              <w:rPr>
                <w:sz w:val="24"/>
                <w:szCs w:val="24"/>
              </w:rPr>
              <w:t xml:space="preserve"> Giannarakis et al. (2020) ; Şahin et al. (2022) ; Aly et al. (2024).</w:t>
            </w:r>
          </w:p>
        </w:tc>
      </w:tr>
      <w:tr w:rsidR="00F45517" w:rsidRPr="00BC43C6" w:rsidTr="00DE6293">
        <w:trPr>
          <w:trHeight w:val="120"/>
        </w:trPr>
        <w:tc>
          <w:tcPr>
            <w:tcW w:w="7905" w:type="dxa"/>
            <w:gridSpan w:val="4"/>
            <w:tcBorders>
              <w:top w:val="single" w:sz="4" w:space="0" w:color="auto"/>
              <w:left w:val="nil"/>
              <w:bottom w:val="single" w:sz="4" w:space="0" w:color="auto"/>
              <w:right w:val="nil"/>
            </w:tcBorders>
            <w:hideMark/>
          </w:tcPr>
          <w:p w:rsidR="00F45517" w:rsidRPr="00F10CFC" w:rsidRDefault="00F45517" w:rsidP="00DE6293">
            <w:pPr>
              <w:ind w:left="425"/>
              <w:rPr>
                <w:b/>
                <w:sz w:val="24"/>
                <w:szCs w:val="24"/>
              </w:rPr>
            </w:pPr>
            <w:r w:rsidRPr="00F10CFC">
              <w:rPr>
                <w:rFonts w:asciiTheme="majorBidi" w:hAnsiTheme="majorBidi" w:cstheme="majorBidi"/>
                <w:b/>
                <w:sz w:val="24"/>
                <w:szCs w:val="24"/>
              </w:rPr>
              <w:t>Control variables</w:t>
            </w:r>
          </w:p>
        </w:tc>
      </w:tr>
      <w:tr w:rsidR="00F45517" w:rsidRPr="00BC43C6" w:rsidTr="002601F3">
        <w:trPr>
          <w:trHeight w:val="337"/>
        </w:trPr>
        <w:tc>
          <w:tcPr>
            <w:tcW w:w="1913" w:type="dxa"/>
            <w:tcBorders>
              <w:top w:val="single" w:sz="4" w:space="0" w:color="auto"/>
              <w:left w:val="nil"/>
              <w:bottom w:val="single" w:sz="4" w:space="0" w:color="auto"/>
              <w:right w:val="nil"/>
            </w:tcBorders>
            <w:hideMark/>
          </w:tcPr>
          <w:p w:rsidR="00F45517" w:rsidRPr="00BC43C6" w:rsidRDefault="00F45517" w:rsidP="00DE6293">
            <w:pPr>
              <w:ind w:left="425"/>
              <w:rPr>
                <w:bCs/>
                <w:sz w:val="24"/>
                <w:szCs w:val="24"/>
              </w:rPr>
            </w:pPr>
            <w:bookmarkStart w:id="3" w:name="_Hlk146626213"/>
            <w:r w:rsidRPr="00B177B4">
              <w:rPr>
                <w:rFonts w:asciiTheme="majorBidi" w:hAnsiTheme="majorBidi" w:cstheme="majorBidi"/>
                <w:bCs/>
                <w:sz w:val="24"/>
                <w:szCs w:val="24"/>
              </w:rPr>
              <w:t>Firm profitability</w:t>
            </w:r>
            <w:bookmarkEnd w:id="3"/>
          </w:p>
        </w:tc>
        <w:tc>
          <w:tcPr>
            <w:tcW w:w="1314" w:type="dxa"/>
            <w:tcBorders>
              <w:top w:val="single" w:sz="4" w:space="0" w:color="auto"/>
              <w:left w:val="nil"/>
              <w:bottom w:val="single" w:sz="4" w:space="0" w:color="auto"/>
              <w:right w:val="nil"/>
            </w:tcBorders>
            <w:hideMark/>
          </w:tcPr>
          <w:p w:rsidR="00F45517" w:rsidRPr="00F10CFC" w:rsidRDefault="00F45517" w:rsidP="00DE6293">
            <w:pPr>
              <w:ind w:left="425"/>
              <w:rPr>
                <w:bCs/>
                <w:i/>
                <w:sz w:val="24"/>
                <w:szCs w:val="24"/>
              </w:rPr>
            </w:pPr>
            <w:r>
              <w:rPr>
                <w:rFonts w:asciiTheme="majorBidi" w:hAnsiTheme="majorBidi" w:cstheme="majorBidi"/>
                <w:bCs/>
                <w:i/>
                <w:sz w:val="24"/>
                <w:szCs w:val="24"/>
              </w:rPr>
              <w:t>ROA</w:t>
            </w:r>
          </w:p>
        </w:tc>
        <w:tc>
          <w:tcPr>
            <w:tcW w:w="2835"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177B4">
              <w:rPr>
                <w:sz w:val="24"/>
                <w:szCs w:val="24"/>
              </w:rPr>
              <w:t xml:space="preserve">The return on assets ratio is </w:t>
            </w:r>
            <w:r w:rsidRPr="00B177B4">
              <w:rPr>
                <w:rFonts w:asciiTheme="majorBidi" w:hAnsiTheme="majorBidi" w:cstheme="majorBidi"/>
                <w:bCs/>
                <w:iCs/>
                <w:sz w:val="24"/>
                <w:szCs w:val="24"/>
              </w:rPr>
              <w:t>the net income by the total of assets</w:t>
            </w:r>
          </w:p>
        </w:tc>
        <w:tc>
          <w:tcPr>
            <w:tcW w:w="1843"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auto"/>
              <w:right w:val="nil"/>
            </w:tcBorders>
            <w:hideMark/>
          </w:tcPr>
          <w:p w:rsidR="00F45517" w:rsidRPr="00BC43C6" w:rsidRDefault="00F45517" w:rsidP="00DE6293">
            <w:pPr>
              <w:ind w:left="425"/>
              <w:rPr>
                <w:bCs/>
                <w:sz w:val="24"/>
                <w:szCs w:val="24"/>
              </w:rPr>
            </w:pPr>
            <w:r w:rsidRPr="00B177B4">
              <w:rPr>
                <w:rFonts w:asciiTheme="majorBidi" w:hAnsiTheme="majorBidi" w:cstheme="majorBidi"/>
                <w:bCs/>
                <w:sz w:val="24"/>
                <w:szCs w:val="24"/>
              </w:rPr>
              <w:t>Firm leverage</w:t>
            </w:r>
          </w:p>
        </w:tc>
        <w:tc>
          <w:tcPr>
            <w:tcW w:w="1314" w:type="dxa"/>
            <w:tcBorders>
              <w:top w:val="single" w:sz="4" w:space="0" w:color="auto"/>
              <w:left w:val="nil"/>
              <w:bottom w:val="single" w:sz="4" w:space="0" w:color="auto"/>
              <w:right w:val="nil"/>
            </w:tcBorders>
            <w:hideMark/>
          </w:tcPr>
          <w:p w:rsidR="00F45517" w:rsidRPr="00F10CFC" w:rsidRDefault="00F45517" w:rsidP="00DE6293">
            <w:pPr>
              <w:ind w:left="425"/>
              <w:rPr>
                <w:bCs/>
                <w:i/>
                <w:sz w:val="24"/>
                <w:szCs w:val="24"/>
              </w:rPr>
            </w:pPr>
            <w:r>
              <w:rPr>
                <w:rFonts w:asciiTheme="majorBidi" w:hAnsiTheme="majorBidi" w:cstheme="majorBidi"/>
                <w:bCs/>
                <w:i/>
                <w:sz w:val="24"/>
                <w:szCs w:val="24"/>
              </w:rPr>
              <w:t>FIRM_LEV</w:t>
            </w:r>
          </w:p>
        </w:tc>
        <w:tc>
          <w:tcPr>
            <w:tcW w:w="2835"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177B4">
              <w:rPr>
                <w:rFonts w:asciiTheme="majorBidi" w:hAnsiTheme="majorBidi" w:cstheme="majorBidi"/>
                <w:bCs/>
                <w:iCs/>
                <w:sz w:val="24"/>
                <w:szCs w:val="24"/>
              </w:rPr>
              <w:t>The ratio of total liabilities to total assets.</w:t>
            </w:r>
          </w:p>
        </w:tc>
        <w:tc>
          <w:tcPr>
            <w:tcW w:w="1843"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auto"/>
              <w:right w:val="nil"/>
            </w:tcBorders>
            <w:hideMark/>
          </w:tcPr>
          <w:p w:rsidR="00F45517" w:rsidRPr="00BC43C6" w:rsidRDefault="00F45517" w:rsidP="00DE6293">
            <w:pPr>
              <w:ind w:left="425"/>
              <w:rPr>
                <w:bCs/>
                <w:sz w:val="24"/>
                <w:szCs w:val="24"/>
              </w:rPr>
            </w:pPr>
            <w:r w:rsidRPr="00B177B4">
              <w:rPr>
                <w:rFonts w:asciiTheme="majorBidi" w:hAnsiTheme="majorBidi" w:cstheme="majorBidi"/>
                <w:bCs/>
                <w:sz w:val="24"/>
                <w:szCs w:val="24"/>
              </w:rPr>
              <w:t>Firm size</w:t>
            </w:r>
          </w:p>
        </w:tc>
        <w:tc>
          <w:tcPr>
            <w:tcW w:w="1314" w:type="dxa"/>
            <w:tcBorders>
              <w:top w:val="single" w:sz="4" w:space="0" w:color="auto"/>
              <w:left w:val="nil"/>
              <w:bottom w:val="single" w:sz="4" w:space="0" w:color="auto"/>
              <w:right w:val="nil"/>
            </w:tcBorders>
            <w:hideMark/>
          </w:tcPr>
          <w:p w:rsidR="00F45517" w:rsidRPr="00F10CFC" w:rsidRDefault="00F45517" w:rsidP="00DE6293">
            <w:pPr>
              <w:ind w:left="425"/>
              <w:rPr>
                <w:bCs/>
                <w:i/>
                <w:sz w:val="24"/>
                <w:szCs w:val="24"/>
              </w:rPr>
            </w:pPr>
            <w:r>
              <w:rPr>
                <w:rFonts w:asciiTheme="majorBidi" w:hAnsiTheme="majorBidi" w:cstheme="majorBidi"/>
                <w:bCs/>
                <w:i/>
                <w:sz w:val="24"/>
                <w:szCs w:val="24"/>
              </w:rPr>
              <w:t>FIRM_SIZE</w:t>
            </w:r>
          </w:p>
        </w:tc>
        <w:tc>
          <w:tcPr>
            <w:tcW w:w="2835"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177B4">
              <w:rPr>
                <w:sz w:val="24"/>
                <w:szCs w:val="24"/>
              </w:rPr>
              <w:t>The natural logarithm of total assets.</w:t>
            </w:r>
          </w:p>
        </w:tc>
        <w:tc>
          <w:tcPr>
            <w:tcW w:w="1843"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auto"/>
              <w:right w:val="nil"/>
            </w:tcBorders>
          </w:tcPr>
          <w:p w:rsidR="00F45517" w:rsidRPr="00BC43C6" w:rsidRDefault="00F45517" w:rsidP="00DE6293">
            <w:pPr>
              <w:ind w:left="425"/>
              <w:rPr>
                <w:bCs/>
                <w:sz w:val="24"/>
                <w:szCs w:val="24"/>
              </w:rPr>
            </w:pPr>
            <w:r w:rsidRPr="004674C7">
              <w:rPr>
                <w:sz w:val="24"/>
              </w:rPr>
              <w:t>Properties, plants and equipment</w:t>
            </w:r>
          </w:p>
        </w:tc>
        <w:tc>
          <w:tcPr>
            <w:tcW w:w="1314" w:type="dxa"/>
            <w:tcBorders>
              <w:top w:val="single" w:sz="4" w:space="0" w:color="auto"/>
              <w:left w:val="nil"/>
              <w:bottom w:val="single" w:sz="4" w:space="0" w:color="auto"/>
              <w:right w:val="nil"/>
            </w:tcBorders>
          </w:tcPr>
          <w:p w:rsidR="00F45517" w:rsidRPr="00F10CFC" w:rsidRDefault="00F45517" w:rsidP="00DE6293">
            <w:pPr>
              <w:ind w:left="425"/>
              <w:rPr>
                <w:bCs/>
                <w:i/>
                <w:sz w:val="24"/>
                <w:szCs w:val="24"/>
              </w:rPr>
            </w:pPr>
            <w:r w:rsidRPr="00F10CFC">
              <w:rPr>
                <w:bCs/>
                <w:i/>
                <w:sz w:val="24"/>
                <w:szCs w:val="24"/>
              </w:rPr>
              <w:t>PPE</w:t>
            </w:r>
          </w:p>
        </w:tc>
        <w:tc>
          <w:tcPr>
            <w:tcW w:w="2835" w:type="dxa"/>
            <w:tcBorders>
              <w:top w:val="single" w:sz="4" w:space="0" w:color="auto"/>
              <w:left w:val="nil"/>
              <w:bottom w:val="single" w:sz="4" w:space="0" w:color="auto"/>
              <w:right w:val="nil"/>
            </w:tcBorders>
          </w:tcPr>
          <w:p w:rsidR="00F45517" w:rsidRPr="00BC43C6" w:rsidRDefault="00F45517" w:rsidP="00DE6293">
            <w:pPr>
              <w:ind w:left="425"/>
              <w:rPr>
                <w:bCs/>
                <w:iCs/>
                <w:sz w:val="24"/>
                <w:szCs w:val="24"/>
              </w:rPr>
            </w:pPr>
            <w:r w:rsidRPr="004674C7">
              <w:rPr>
                <w:bCs/>
                <w:iCs/>
                <w:sz w:val="24"/>
                <w:szCs w:val="24"/>
              </w:rPr>
              <w:t xml:space="preserve">The value of property, plant and equipment as </w:t>
            </w:r>
            <w:proofErr w:type="gramStart"/>
            <w:r w:rsidRPr="004674C7">
              <w:rPr>
                <w:bCs/>
                <w:iCs/>
                <w:sz w:val="24"/>
                <w:szCs w:val="24"/>
              </w:rPr>
              <w:t>a</w:t>
            </w:r>
            <w:proofErr w:type="gramEnd"/>
            <w:r w:rsidRPr="004674C7">
              <w:rPr>
                <w:bCs/>
                <w:iCs/>
                <w:sz w:val="24"/>
                <w:szCs w:val="24"/>
              </w:rPr>
              <w:t xml:space="preserve"> proportion of total assets.</w:t>
            </w:r>
          </w:p>
        </w:tc>
        <w:tc>
          <w:tcPr>
            <w:tcW w:w="1843" w:type="dxa"/>
            <w:tcBorders>
              <w:top w:val="single" w:sz="4" w:space="0" w:color="auto"/>
              <w:left w:val="nil"/>
              <w:bottom w:val="single" w:sz="4" w:space="0" w:color="auto"/>
              <w:right w:val="nil"/>
            </w:tcBorders>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auto"/>
              <w:right w:val="nil"/>
            </w:tcBorders>
          </w:tcPr>
          <w:p w:rsidR="00F45517" w:rsidRPr="00BC43C6" w:rsidRDefault="00F45517" w:rsidP="00DE6293">
            <w:pPr>
              <w:ind w:left="425"/>
              <w:rPr>
                <w:sz w:val="24"/>
              </w:rPr>
            </w:pPr>
            <w:r w:rsidRPr="004674C7">
              <w:rPr>
                <w:sz w:val="24"/>
              </w:rPr>
              <w:t>Cash flow</w:t>
            </w:r>
          </w:p>
        </w:tc>
        <w:tc>
          <w:tcPr>
            <w:tcW w:w="1314" w:type="dxa"/>
            <w:tcBorders>
              <w:top w:val="single" w:sz="4" w:space="0" w:color="auto"/>
              <w:left w:val="nil"/>
              <w:bottom w:val="single" w:sz="4" w:space="0" w:color="auto"/>
              <w:right w:val="nil"/>
            </w:tcBorders>
          </w:tcPr>
          <w:p w:rsidR="00F45517" w:rsidRPr="00BC43C6" w:rsidRDefault="00F45517" w:rsidP="00DE6293">
            <w:pPr>
              <w:ind w:left="425"/>
              <w:rPr>
                <w:bCs/>
                <w:i/>
                <w:sz w:val="24"/>
                <w:szCs w:val="24"/>
              </w:rPr>
            </w:pPr>
            <w:r w:rsidRPr="00BC43C6">
              <w:rPr>
                <w:bCs/>
                <w:i/>
                <w:sz w:val="24"/>
                <w:szCs w:val="24"/>
              </w:rPr>
              <w:t>CF</w:t>
            </w:r>
          </w:p>
        </w:tc>
        <w:tc>
          <w:tcPr>
            <w:tcW w:w="2835" w:type="dxa"/>
            <w:tcBorders>
              <w:top w:val="single" w:sz="4" w:space="0" w:color="auto"/>
              <w:left w:val="nil"/>
              <w:bottom w:val="single" w:sz="4" w:space="0" w:color="auto"/>
              <w:right w:val="nil"/>
            </w:tcBorders>
          </w:tcPr>
          <w:p w:rsidR="00F45517" w:rsidRPr="00BC43C6" w:rsidRDefault="00F45517" w:rsidP="00DE6293">
            <w:pPr>
              <w:ind w:left="425"/>
              <w:rPr>
                <w:bCs/>
                <w:iCs/>
                <w:sz w:val="24"/>
                <w:szCs w:val="24"/>
              </w:rPr>
            </w:pPr>
            <w:r w:rsidRPr="004674C7">
              <w:rPr>
                <w:sz w:val="24"/>
                <w:szCs w:val="24"/>
              </w:rPr>
              <w:t>Cash flow from operating activities divided by total assets.</w:t>
            </w:r>
          </w:p>
        </w:tc>
        <w:tc>
          <w:tcPr>
            <w:tcW w:w="1843" w:type="dxa"/>
            <w:tcBorders>
              <w:top w:val="single" w:sz="4" w:space="0" w:color="auto"/>
              <w:left w:val="nil"/>
              <w:bottom w:val="single" w:sz="4" w:space="0" w:color="auto"/>
              <w:right w:val="nil"/>
            </w:tcBorders>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auto"/>
              <w:right w:val="nil"/>
            </w:tcBorders>
          </w:tcPr>
          <w:p w:rsidR="00F45517" w:rsidRPr="00BC43C6" w:rsidRDefault="00F45517" w:rsidP="00DE6293">
            <w:pPr>
              <w:ind w:left="425"/>
              <w:rPr>
                <w:sz w:val="24"/>
              </w:rPr>
            </w:pPr>
            <w:r w:rsidRPr="004674C7">
              <w:rPr>
                <w:sz w:val="24"/>
              </w:rPr>
              <w:t>The ratio of market value to book value</w:t>
            </w:r>
          </w:p>
        </w:tc>
        <w:tc>
          <w:tcPr>
            <w:tcW w:w="1314" w:type="dxa"/>
            <w:tcBorders>
              <w:top w:val="single" w:sz="4" w:space="0" w:color="auto"/>
              <w:left w:val="nil"/>
              <w:bottom w:val="single" w:sz="4" w:space="0" w:color="auto"/>
              <w:right w:val="nil"/>
            </w:tcBorders>
          </w:tcPr>
          <w:p w:rsidR="00F45517" w:rsidRPr="00BC43C6" w:rsidRDefault="00F45517" w:rsidP="00DE6293">
            <w:pPr>
              <w:ind w:left="425"/>
              <w:rPr>
                <w:bCs/>
                <w:i/>
                <w:sz w:val="24"/>
                <w:szCs w:val="24"/>
              </w:rPr>
            </w:pPr>
            <w:r w:rsidRPr="00BC43C6">
              <w:rPr>
                <w:bCs/>
                <w:i/>
                <w:sz w:val="24"/>
                <w:szCs w:val="24"/>
              </w:rPr>
              <w:t>MKTB</w:t>
            </w:r>
          </w:p>
        </w:tc>
        <w:tc>
          <w:tcPr>
            <w:tcW w:w="2835" w:type="dxa"/>
            <w:tcBorders>
              <w:top w:val="single" w:sz="4" w:space="0" w:color="auto"/>
              <w:left w:val="nil"/>
              <w:bottom w:val="single" w:sz="4" w:space="0" w:color="auto"/>
              <w:right w:val="nil"/>
            </w:tcBorders>
          </w:tcPr>
          <w:p w:rsidR="00F45517" w:rsidRPr="00BC43C6" w:rsidRDefault="00F45517" w:rsidP="00DE6293">
            <w:pPr>
              <w:ind w:left="425"/>
              <w:rPr>
                <w:sz w:val="24"/>
              </w:rPr>
            </w:pPr>
            <w:r w:rsidRPr="004674C7">
              <w:rPr>
                <w:sz w:val="24"/>
              </w:rPr>
              <w:t>Ratio of total market value of equity to book value of equity.</w:t>
            </w:r>
          </w:p>
        </w:tc>
        <w:tc>
          <w:tcPr>
            <w:tcW w:w="1843" w:type="dxa"/>
            <w:tcBorders>
              <w:top w:val="single" w:sz="4" w:space="0" w:color="auto"/>
              <w:left w:val="nil"/>
              <w:bottom w:val="single" w:sz="4" w:space="0" w:color="auto"/>
              <w:right w:val="nil"/>
            </w:tcBorders>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auto"/>
              <w:right w:val="nil"/>
            </w:tcBorders>
            <w:hideMark/>
          </w:tcPr>
          <w:p w:rsidR="00F45517" w:rsidRPr="00BC43C6" w:rsidRDefault="00F45517" w:rsidP="00DE6293">
            <w:pPr>
              <w:ind w:left="425"/>
              <w:rPr>
                <w:bCs/>
                <w:sz w:val="24"/>
                <w:szCs w:val="24"/>
              </w:rPr>
            </w:pPr>
            <w:r>
              <w:rPr>
                <w:bCs/>
                <w:sz w:val="24"/>
                <w:szCs w:val="24"/>
              </w:rPr>
              <w:t>Legal system</w:t>
            </w:r>
          </w:p>
        </w:tc>
        <w:tc>
          <w:tcPr>
            <w:tcW w:w="1314" w:type="dxa"/>
            <w:tcBorders>
              <w:top w:val="single" w:sz="4" w:space="0" w:color="auto"/>
              <w:left w:val="nil"/>
              <w:bottom w:val="single" w:sz="4" w:space="0" w:color="auto"/>
              <w:right w:val="nil"/>
            </w:tcBorders>
            <w:hideMark/>
          </w:tcPr>
          <w:p w:rsidR="00F45517" w:rsidRPr="00BC43C6" w:rsidRDefault="00F45517" w:rsidP="00DE6293">
            <w:pPr>
              <w:ind w:left="425"/>
              <w:rPr>
                <w:bCs/>
                <w:i/>
                <w:sz w:val="24"/>
                <w:szCs w:val="24"/>
              </w:rPr>
            </w:pPr>
            <w:r w:rsidRPr="00BC43C6">
              <w:rPr>
                <w:bCs/>
                <w:i/>
                <w:sz w:val="24"/>
                <w:szCs w:val="24"/>
              </w:rPr>
              <w:t>LEG_SYS</w:t>
            </w:r>
          </w:p>
        </w:tc>
        <w:tc>
          <w:tcPr>
            <w:tcW w:w="2835"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A80FAC">
              <w:rPr>
                <w:sz w:val="24"/>
                <w:szCs w:val="24"/>
              </w:rPr>
              <w:t>Dummy variable taking value 0 for “civil law” countries and 1 for “common law” countries.</w:t>
            </w:r>
          </w:p>
        </w:tc>
        <w:tc>
          <w:tcPr>
            <w:tcW w:w="1843" w:type="dxa"/>
            <w:tcBorders>
              <w:top w:val="single" w:sz="4" w:space="0" w:color="auto"/>
              <w:left w:val="nil"/>
              <w:bottom w:val="single" w:sz="4" w:space="0" w:color="auto"/>
              <w:right w:val="nil"/>
            </w:tcBorders>
            <w:hideMark/>
          </w:tcPr>
          <w:p w:rsidR="00F45517" w:rsidRPr="00BC43C6" w:rsidRDefault="00F45517" w:rsidP="00DE6293">
            <w:pPr>
              <w:ind w:left="425"/>
              <w:rPr>
                <w:sz w:val="24"/>
                <w:szCs w:val="24"/>
              </w:rPr>
            </w:pPr>
            <w:r w:rsidRPr="00BC43C6">
              <w:rPr>
                <w:sz w:val="24"/>
                <w:szCs w:val="24"/>
              </w:rPr>
              <w:t>DataStream</w:t>
            </w:r>
          </w:p>
        </w:tc>
      </w:tr>
      <w:tr w:rsidR="00F45517" w:rsidRPr="00BC43C6" w:rsidTr="002601F3">
        <w:trPr>
          <w:trHeight w:val="356"/>
        </w:trPr>
        <w:tc>
          <w:tcPr>
            <w:tcW w:w="1913" w:type="dxa"/>
            <w:tcBorders>
              <w:top w:val="single" w:sz="4" w:space="0" w:color="auto"/>
              <w:left w:val="nil"/>
              <w:bottom w:val="single" w:sz="4" w:space="0" w:color="000000" w:themeColor="text1"/>
              <w:right w:val="nil"/>
            </w:tcBorders>
          </w:tcPr>
          <w:p w:rsidR="00F45517" w:rsidRPr="00BC43C6" w:rsidRDefault="00F45517" w:rsidP="00DE6293">
            <w:pPr>
              <w:ind w:left="425"/>
              <w:rPr>
                <w:sz w:val="24"/>
              </w:rPr>
            </w:pPr>
            <w:r w:rsidRPr="00724099">
              <w:rPr>
                <w:sz w:val="24"/>
              </w:rPr>
              <w:t>Coronavirus</w:t>
            </w:r>
          </w:p>
        </w:tc>
        <w:tc>
          <w:tcPr>
            <w:tcW w:w="1314" w:type="dxa"/>
            <w:tcBorders>
              <w:top w:val="single" w:sz="4" w:space="0" w:color="auto"/>
              <w:left w:val="nil"/>
              <w:bottom w:val="single" w:sz="4" w:space="0" w:color="000000" w:themeColor="text1"/>
              <w:right w:val="nil"/>
            </w:tcBorders>
          </w:tcPr>
          <w:p w:rsidR="00F45517" w:rsidRPr="00BC43C6" w:rsidRDefault="00F45517" w:rsidP="00DE6293">
            <w:pPr>
              <w:ind w:left="425"/>
              <w:rPr>
                <w:bCs/>
                <w:i/>
                <w:sz w:val="24"/>
                <w:szCs w:val="24"/>
              </w:rPr>
            </w:pPr>
            <w:r w:rsidRPr="00BC43C6">
              <w:rPr>
                <w:bCs/>
                <w:i/>
                <w:sz w:val="24"/>
                <w:szCs w:val="24"/>
              </w:rPr>
              <w:t>COVID-19</w:t>
            </w:r>
          </w:p>
        </w:tc>
        <w:tc>
          <w:tcPr>
            <w:tcW w:w="2835" w:type="dxa"/>
            <w:tcBorders>
              <w:top w:val="single" w:sz="4" w:space="0" w:color="auto"/>
              <w:left w:val="nil"/>
              <w:bottom w:val="single" w:sz="4" w:space="0" w:color="000000" w:themeColor="text1"/>
              <w:right w:val="nil"/>
            </w:tcBorders>
          </w:tcPr>
          <w:p w:rsidR="00F45517" w:rsidRPr="00BC43C6" w:rsidRDefault="00F45517" w:rsidP="00DE6293">
            <w:pPr>
              <w:ind w:left="425"/>
              <w:rPr>
                <w:sz w:val="24"/>
              </w:rPr>
            </w:pPr>
            <w:r>
              <w:rPr>
                <w:sz w:val="24"/>
              </w:rPr>
              <w:t>“</w:t>
            </w:r>
            <w:r w:rsidRPr="00BC43C6">
              <w:rPr>
                <w:sz w:val="24"/>
              </w:rPr>
              <w:t>COVID</w:t>
            </w:r>
            <w:r w:rsidRPr="00E226DB">
              <w:rPr>
                <w:sz w:val="24"/>
              </w:rPr>
              <w:t>-19” is a dummy variable which takes the value 1 if the study period is 2020, and 0 otherwise.</w:t>
            </w:r>
          </w:p>
        </w:tc>
        <w:tc>
          <w:tcPr>
            <w:tcW w:w="1843" w:type="dxa"/>
            <w:tcBorders>
              <w:top w:val="single" w:sz="4" w:space="0" w:color="auto"/>
              <w:left w:val="nil"/>
              <w:bottom w:val="single" w:sz="4" w:space="0" w:color="000000" w:themeColor="text1"/>
              <w:right w:val="nil"/>
            </w:tcBorders>
          </w:tcPr>
          <w:p w:rsidR="00F45517" w:rsidRPr="00BC43C6" w:rsidRDefault="00F45517" w:rsidP="00DE6293">
            <w:pPr>
              <w:ind w:left="425"/>
              <w:rPr>
                <w:sz w:val="24"/>
                <w:szCs w:val="24"/>
              </w:rPr>
            </w:pPr>
            <w:r w:rsidRPr="00BC43C6">
              <w:rPr>
                <w:sz w:val="24"/>
                <w:szCs w:val="24"/>
              </w:rPr>
              <w:t>Bae et al. (2021)</w:t>
            </w:r>
          </w:p>
        </w:tc>
      </w:tr>
    </w:tbl>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601F3" w:rsidRDefault="002601F3"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230DEB" w:rsidRDefault="00230DEB" w:rsidP="009721CD">
      <w:pPr>
        <w:spacing w:line="360" w:lineRule="auto"/>
        <w:ind w:left="425"/>
        <w:rPr>
          <w:b/>
          <w:sz w:val="18"/>
          <w:szCs w:val="18"/>
        </w:rPr>
      </w:pPr>
    </w:p>
    <w:p w:rsidR="00931690" w:rsidRDefault="00931690" w:rsidP="009721CD">
      <w:pPr>
        <w:spacing w:line="360" w:lineRule="auto"/>
        <w:ind w:left="425"/>
        <w:rPr>
          <w:sz w:val="18"/>
          <w:szCs w:val="18"/>
        </w:rPr>
      </w:pPr>
      <w:proofErr w:type="gramStart"/>
      <w:r w:rsidRPr="00641D5C">
        <w:rPr>
          <w:b/>
          <w:sz w:val="18"/>
          <w:szCs w:val="18"/>
        </w:rPr>
        <w:t>Source:</w:t>
      </w:r>
      <w:proofErr w:type="gramEnd"/>
      <w:r w:rsidRPr="00641D5C">
        <w:rPr>
          <w:sz w:val="18"/>
          <w:szCs w:val="18"/>
        </w:rPr>
        <w:t xml:space="preserve"> Authors’ own work</w:t>
      </w:r>
    </w:p>
    <w:p w:rsidR="00D61A31" w:rsidRDefault="00D61A31" w:rsidP="009721CD">
      <w:pPr>
        <w:spacing w:line="360" w:lineRule="auto"/>
        <w:ind w:left="425"/>
        <w:rPr>
          <w:rFonts w:asciiTheme="majorBidi" w:hAnsiTheme="majorBidi" w:cstheme="majorBidi"/>
          <w:i/>
          <w:iCs/>
          <w:sz w:val="24"/>
          <w:szCs w:val="24"/>
        </w:rPr>
      </w:pPr>
    </w:p>
    <w:p w:rsidR="00931690" w:rsidRDefault="00931690" w:rsidP="00D61A31">
      <w:pPr>
        <w:ind w:left="1145" w:hanging="357"/>
        <w:contextualSpacing/>
        <w:outlineLvl w:val="1"/>
        <w:rPr>
          <w:rFonts w:asciiTheme="majorBidi" w:hAnsiTheme="majorBidi" w:cstheme="majorBidi"/>
          <w:b/>
          <w:bCs/>
          <w:sz w:val="24"/>
          <w:szCs w:val="24"/>
        </w:rPr>
      </w:pPr>
      <w:r w:rsidRPr="00D61A31">
        <w:rPr>
          <w:rFonts w:asciiTheme="majorBidi" w:hAnsiTheme="majorBidi" w:cstheme="majorBidi"/>
          <w:b/>
          <w:bCs/>
          <w:sz w:val="24"/>
          <w:szCs w:val="24"/>
        </w:rPr>
        <w:t>3.3 Regression model</w:t>
      </w:r>
    </w:p>
    <w:p w:rsidR="00D61A31" w:rsidRPr="00D61A31" w:rsidRDefault="00D61A31" w:rsidP="00D61A31">
      <w:pPr>
        <w:ind w:left="1145" w:hanging="357"/>
        <w:contextualSpacing/>
        <w:outlineLvl w:val="1"/>
        <w:rPr>
          <w:rFonts w:asciiTheme="majorBidi" w:hAnsiTheme="majorBidi" w:cstheme="majorBidi"/>
          <w:b/>
          <w:bCs/>
          <w:sz w:val="24"/>
          <w:szCs w:val="24"/>
        </w:rPr>
      </w:pPr>
    </w:p>
    <w:p w:rsidR="00931690" w:rsidRPr="00B177B4" w:rsidRDefault="00931690" w:rsidP="00F45517">
      <w:pPr>
        <w:ind w:left="425" w:right="845"/>
        <w:contextualSpacing/>
        <w:jc w:val="both"/>
        <w:rPr>
          <w:rFonts w:asciiTheme="majorBidi" w:hAnsiTheme="majorBidi" w:cstheme="majorBidi"/>
          <w:bCs/>
          <w:sz w:val="24"/>
          <w:szCs w:val="24"/>
        </w:rPr>
      </w:pPr>
      <w:r w:rsidRPr="00B177B4">
        <w:rPr>
          <w:rFonts w:asciiTheme="majorBidi" w:hAnsiTheme="majorBidi" w:cstheme="majorBidi"/>
          <w:bCs/>
          <w:sz w:val="24"/>
          <w:szCs w:val="24"/>
        </w:rPr>
        <w:t xml:space="preserve">The main objective of this study was to analyze the </w:t>
      </w:r>
      <w:r>
        <w:rPr>
          <w:rFonts w:asciiTheme="majorBidi" w:hAnsiTheme="majorBidi" w:cstheme="majorBidi"/>
          <w:bCs/>
          <w:sz w:val="24"/>
          <w:szCs w:val="24"/>
        </w:rPr>
        <w:t>e</w:t>
      </w:r>
      <w:r w:rsidRPr="00B177B4">
        <w:rPr>
          <w:rFonts w:asciiTheme="majorBidi" w:hAnsiTheme="majorBidi" w:cstheme="majorBidi"/>
          <w:bCs/>
          <w:sz w:val="24"/>
          <w:szCs w:val="24"/>
        </w:rPr>
        <w:t xml:space="preserve">ffect of </w:t>
      </w:r>
      <w:r>
        <w:rPr>
          <w:rFonts w:asciiTheme="majorBidi" w:hAnsiTheme="majorBidi" w:cstheme="majorBidi"/>
          <w:bCs/>
          <w:sz w:val="24"/>
          <w:szCs w:val="24"/>
        </w:rPr>
        <w:t>environmental transparency</w:t>
      </w:r>
      <w:r w:rsidRPr="00B177B4">
        <w:rPr>
          <w:rFonts w:asciiTheme="majorBidi" w:hAnsiTheme="majorBidi" w:cstheme="majorBidi"/>
          <w:bCs/>
          <w:sz w:val="24"/>
          <w:szCs w:val="24"/>
        </w:rPr>
        <w:t xml:space="preserve"> </w:t>
      </w:r>
      <w:r>
        <w:rPr>
          <w:rFonts w:asciiTheme="majorBidi" w:hAnsiTheme="majorBidi" w:cstheme="majorBidi"/>
          <w:bCs/>
          <w:sz w:val="24"/>
          <w:szCs w:val="24"/>
        </w:rPr>
        <w:t>on tax avoidance</w:t>
      </w:r>
      <w:r w:rsidRPr="00B177B4">
        <w:rPr>
          <w:rFonts w:asciiTheme="majorBidi" w:hAnsiTheme="majorBidi" w:cstheme="majorBidi"/>
          <w:bCs/>
          <w:sz w:val="24"/>
          <w:szCs w:val="24"/>
        </w:rPr>
        <w:t xml:space="preserve">. We also accounted for the influence of various control variables. In order to test </w:t>
      </w:r>
      <w:r>
        <w:rPr>
          <w:rFonts w:asciiTheme="majorBidi" w:hAnsiTheme="majorBidi" w:cstheme="majorBidi"/>
          <w:bCs/>
          <w:sz w:val="24"/>
          <w:szCs w:val="24"/>
        </w:rPr>
        <w:t>the</w:t>
      </w:r>
      <w:r w:rsidRPr="00B177B4">
        <w:rPr>
          <w:rFonts w:asciiTheme="majorBidi" w:hAnsiTheme="majorBidi" w:cstheme="majorBidi"/>
          <w:bCs/>
          <w:sz w:val="24"/>
          <w:szCs w:val="24"/>
        </w:rPr>
        <w:t xml:space="preserve"> hypothes</w:t>
      </w:r>
      <w:r>
        <w:rPr>
          <w:rFonts w:asciiTheme="majorBidi" w:hAnsiTheme="majorBidi" w:cstheme="majorBidi"/>
          <w:bCs/>
          <w:sz w:val="24"/>
          <w:szCs w:val="24"/>
        </w:rPr>
        <w:t>i</w:t>
      </w:r>
      <w:r w:rsidRPr="00B177B4">
        <w:rPr>
          <w:rFonts w:asciiTheme="majorBidi" w:hAnsiTheme="majorBidi" w:cstheme="majorBidi"/>
          <w:bCs/>
          <w:sz w:val="24"/>
          <w:szCs w:val="24"/>
        </w:rPr>
        <w:t xml:space="preserve">s, we employed a panel regression model with </w:t>
      </w:r>
      <w:r>
        <w:rPr>
          <w:rFonts w:asciiTheme="majorBidi" w:hAnsiTheme="majorBidi" w:cstheme="majorBidi"/>
          <w:bCs/>
          <w:sz w:val="24"/>
          <w:szCs w:val="24"/>
        </w:rPr>
        <w:t>tax avoidance</w:t>
      </w:r>
      <w:r w:rsidRPr="00B177B4">
        <w:rPr>
          <w:rFonts w:asciiTheme="majorBidi" w:hAnsiTheme="majorBidi" w:cstheme="majorBidi"/>
          <w:bCs/>
          <w:sz w:val="24"/>
          <w:szCs w:val="24"/>
        </w:rPr>
        <w:t xml:space="preserve"> as the dependent variable. We specified </w:t>
      </w:r>
      <w:r>
        <w:rPr>
          <w:rFonts w:asciiTheme="majorBidi" w:hAnsiTheme="majorBidi" w:cstheme="majorBidi"/>
          <w:bCs/>
          <w:sz w:val="24"/>
          <w:szCs w:val="24"/>
        </w:rPr>
        <w:t>the</w:t>
      </w:r>
      <w:r w:rsidRPr="00B177B4">
        <w:rPr>
          <w:rFonts w:asciiTheme="majorBidi" w:hAnsiTheme="majorBidi" w:cstheme="majorBidi"/>
          <w:bCs/>
          <w:sz w:val="24"/>
          <w:szCs w:val="24"/>
        </w:rPr>
        <w:t xml:space="preserve"> econometric </w:t>
      </w:r>
      <w:r w:rsidRPr="00B177B4">
        <w:rPr>
          <w:rFonts w:asciiTheme="majorBidi" w:hAnsiTheme="majorBidi" w:cstheme="majorBidi"/>
          <w:bCs/>
          <w:sz w:val="24"/>
          <w:szCs w:val="24"/>
        </w:rPr>
        <w:lastRenderedPageBreak/>
        <w:t xml:space="preserve">model for the estimation. </w:t>
      </w:r>
    </w:p>
    <w:p w:rsidR="00931690" w:rsidRPr="00B177B4" w:rsidRDefault="00931690" w:rsidP="00F45517">
      <w:pPr>
        <w:ind w:left="425" w:right="845"/>
        <w:contextualSpacing/>
        <w:jc w:val="both"/>
        <w:rPr>
          <w:sz w:val="24"/>
          <w:szCs w:val="24"/>
        </w:rPr>
      </w:pPr>
      <w:r w:rsidRPr="00B177B4">
        <w:rPr>
          <w:sz w:val="24"/>
          <w:szCs w:val="24"/>
        </w:rPr>
        <w:t>Panel regression analysis (using STATA 17 as a statistical software package) was used.</w:t>
      </w:r>
    </w:p>
    <w:p w:rsidR="00931690" w:rsidRPr="00773435" w:rsidRDefault="00A45EC9" w:rsidP="00F45517">
      <w:pPr>
        <w:adjustRightInd w:val="0"/>
        <w:ind w:left="425" w:right="845"/>
        <w:contextualSpacing/>
        <w:jc w:val="both"/>
        <w:rPr>
          <w:sz w:val="24"/>
          <w:szCs w:val="24"/>
        </w:rPr>
      </w:pPr>
      <m:oMathPara>
        <m:oMath>
          <m:eqArr>
            <m:eqArrPr>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ETR</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1</m:t>
                  </m:r>
                </m:sub>
              </m:sSub>
              <m:r>
                <w:rPr>
                  <w:rFonts w:ascii="Cambria Math" w:hAnsi="Cambria Math"/>
                  <w:sz w:val="24"/>
                  <w:szCs w:val="24"/>
                </w:rPr>
                <m:t>CE</m:t>
              </m:r>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2</m:t>
                  </m:r>
                </m:sub>
              </m:sSub>
              <m:r>
                <w:rPr>
                  <w:rFonts w:ascii="Cambria Math" w:hAnsi="Cambria Math"/>
                  <w:sz w:val="24"/>
                  <w:szCs w:val="24"/>
                </w:rPr>
                <m:t>FIRM_LE</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3</m:t>
                  </m:r>
                </m:sub>
              </m:sSub>
              <m:r>
                <w:rPr>
                  <w:rFonts w:ascii="Cambria Math" w:hAnsi="Cambria Math"/>
                  <w:sz w:val="24"/>
                  <w:szCs w:val="24"/>
                </w:rPr>
                <m:t>FIRM_SIZ</m:t>
              </m:r>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4</m:t>
                  </m:r>
                </m:sub>
              </m:sSub>
              <m:r>
                <w:rPr>
                  <w:rFonts w:ascii="Cambria Math" w:hAnsi="Cambria Math"/>
                  <w:sz w:val="24"/>
                  <w:szCs w:val="24"/>
                </w:rPr>
                <m:t>RO</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i,t</m:t>
                  </m:r>
                </m:sub>
              </m:sSub>
            </m:e>
            <m:e>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5</m:t>
                  </m:r>
                </m:sub>
              </m:sSub>
              <m:r>
                <w:rPr>
                  <w:rFonts w:ascii="Cambria Math" w:hAnsi="Cambria Math"/>
                  <w:sz w:val="24"/>
                  <w:szCs w:val="24"/>
                </w:rPr>
                <m:t>PP</m:t>
              </m:r>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6</m:t>
                  </m:r>
                </m:sub>
              </m:sSub>
              <m:r>
                <w:rPr>
                  <w:rFonts w:ascii="Cambria Math" w:hAnsi="Cambria Math"/>
                  <w:sz w:val="24"/>
                  <w:szCs w:val="24"/>
                </w:rPr>
                <m:t>C</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7</m:t>
                  </m:r>
                </m:sub>
              </m:sSub>
              <m:r>
                <w:rPr>
                  <w:rFonts w:ascii="Cambria Math" w:hAnsi="Cambria Math"/>
                  <w:sz w:val="24"/>
                  <w:szCs w:val="24"/>
                </w:rPr>
                <m:t>MT</m:t>
              </m:r>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8</m:t>
                  </m:r>
                </m:sub>
              </m:sSub>
              <m:r>
                <w:rPr>
                  <w:rFonts w:ascii="Cambria Math" w:hAnsi="Cambria Math"/>
                  <w:sz w:val="24"/>
                  <w:szCs w:val="24"/>
                </w:rPr>
                <m:t>LEG_SY</m:t>
              </m:r>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9</m:t>
                  </m:r>
                </m:sub>
              </m:sSub>
              <m:r>
                <w:rPr>
                  <w:rFonts w:ascii="Cambria Math" w:hAnsi="Cambria Math"/>
                  <w:sz w:val="24"/>
                  <w:szCs w:val="24"/>
                </w:rPr>
                <m:t>COVID_</m:t>
              </m:r>
              <m:sSub>
                <m:sSubPr>
                  <m:ctrlPr>
                    <w:rPr>
                      <w:rFonts w:ascii="Cambria Math" w:hAnsi="Cambria Math"/>
                      <w:sz w:val="24"/>
                      <w:szCs w:val="24"/>
                    </w:rPr>
                  </m:ctrlPr>
                </m:sSubPr>
                <m:e>
                  <m:r>
                    <w:rPr>
                      <w:rFonts w:ascii="Cambria Math" w:hAnsi="Cambria Math"/>
                      <w:sz w:val="24"/>
                      <w:szCs w:val="24"/>
                    </w:rPr>
                    <m:t>19</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ε</m:t>
                  </m:r>
                </m:e>
                <m:sub>
                  <m:r>
                    <w:rPr>
                      <w:rFonts w:ascii="Cambria Math" w:hAnsi="Cambria Math"/>
                      <w:sz w:val="24"/>
                      <w:szCs w:val="24"/>
                    </w:rPr>
                    <m:t>i,t</m:t>
                  </m:r>
                </m:sub>
              </m:sSub>
              <m:r>
                <w:rPr>
                  <w:rFonts w:ascii="Cambria Math" w:hAnsi="Cambria Math"/>
                  <w:sz w:val="24"/>
                  <w:szCs w:val="24"/>
                </w:rPr>
                <m:t>(1)</m:t>
              </m:r>
            </m:e>
          </m:eqArr>
        </m:oMath>
      </m:oMathPara>
    </w:p>
    <w:p w:rsidR="00931690" w:rsidRDefault="00931690" w:rsidP="00F45517">
      <w:pPr>
        <w:ind w:left="425" w:right="845"/>
        <w:contextualSpacing/>
        <w:jc w:val="both"/>
        <w:rPr>
          <w:sz w:val="24"/>
          <w:szCs w:val="24"/>
        </w:rPr>
      </w:pPr>
      <w:r w:rsidRPr="00B177B4">
        <w:rPr>
          <w:sz w:val="24"/>
          <w:szCs w:val="24"/>
        </w:rPr>
        <w:t xml:space="preserve">All the variables are defined in Table </w:t>
      </w:r>
      <w:r>
        <w:rPr>
          <w:sz w:val="24"/>
          <w:szCs w:val="24"/>
        </w:rPr>
        <w:t>2</w:t>
      </w:r>
      <w:r w:rsidRPr="00B177B4">
        <w:rPr>
          <w:sz w:val="24"/>
          <w:szCs w:val="24"/>
        </w:rPr>
        <w:t xml:space="preserve">. </w:t>
      </w:r>
      <w:r w:rsidRPr="00B177B4">
        <w:rPr>
          <w:sz w:val="24"/>
          <w:szCs w:val="24"/>
        </w:rPr>
        <w:sym w:font="Symbol" w:char="F065"/>
      </w:r>
      <w:r w:rsidRPr="00B177B4">
        <w:rPr>
          <w:sz w:val="24"/>
          <w:szCs w:val="24"/>
        </w:rPr>
        <w:t xml:space="preserve"> </w:t>
      </w:r>
      <w:proofErr w:type="gramStart"/>
      <w:r w:rsidRPr="00B177B4">
        <w:rPr>
          <w:sz w:val="24"/>
          <w:szCs w:val="24"/>
        </w:rPr>
        <w:t>is</w:t>
      </w:r>
      <w:proofErr w:type="gramEnd"/>
      <w:r w:rsidRPr="00B177B4">
        <w:rPr>
          <w:sz w:val="24"/>
          <w:szCs w:val="24"/>
        </w:rPr>
        <w:t xml:space="preserve"> the error term</w:t>
      </w:r>
      <w:r>
        <w:rPr>
          <w:sz w:val="24"/>
          <w:szCs w:val="24"/>
        </w:rPr>
        <w:t>,</w:t>
      </w:r>
      <w:r w:rsidRPr="00B177B4">
        <w:rPr>
          <w:sz w:val="24"/>
          <w:szCs w:val="24"/>
        </w:rPr>
        <w:t xml:space="preserve"> and the indices i and t represent the firm and the year, respectively.</w:t>
      </w:r>
    </w:p>
    <w:p w:rsidR="00D61A31" w:rsidRPr="00F46492" w:rsidRDefault="00D61A31" w:rsidP="00F45517">
      <w:pPr>
        <w:ind w:left="425" w:right="845"/>
        <w:contextualSpacing/>
        <w:jc w:val="both"/>
        <w:rPr>
          <w:sz w:val="24"/>
          <w:szCs w:val="24"/>
        </w:rPr>
      </w:pPr>
    </w:p>
    <w:p w:rsidR="00931690" w:rsidRDefault="00931690" w:rsidP="00D61A31">
      <w:pPr>
        <w:ind w:left="1145" w:hanging="357"/>
        <w:contextualSpacing/>
        <w:outlineLvl w:val="0"/>
        <w:rPr>
          <w:b/>
          <w:sz w:val="24"/>
          <w:szCs w:val="24"/>
        </w:rPr>
      </w:pPr>
      <w:r w:rsidRPr="00B177B4">
        <w:rPr>
          <w:b/>
          <w:sz w:val="24"/>
          <w:szCs w:val="24"/>
        </w:rPr>
        <w:t>4. Result analysis and discussion</w:t>
      </w:r>
    </w:p>
    <w:p w:rsidR="00D61A31" w:rsidRPr="00B177B4" w:rsidRDefault="00D61A31" w:rsidP="00D61A31">
      <w:pPr>
        <w:ind w:left="1145" w:hanging="357"/>
        <w:contextualSpacing/>
        <w:outlineLvl w:val="0"/>
        <w:rPr>
          <w:rFonts w:ascii="Calibri" w:hAnsi="Calibri" w:cs="Calibri"/>
          <w:b/>
          <w:sz w:val="24"/>
          <w:szCs w:val="24"/>
        </w:rPr>
      </w:pPr>
    </w:p>
    <w:p w:rsidR="00931690" w:rsidRDefault="00931690" w:rsidP="00530757">
      <w:pPr>
        <w:ind w:left="1145" w:hanging="357"/>
        <w:contextualSpacing/>
        <w:outlineLvl w:val="1"/>
        <w:rPr>
          <w:rFonts w:asciiTheme="majorBidi" w:hAnsiTheme="majorBidi" w:cstheme="majorBidi"/>
          <w:b/>
          <w:bCs/>
          <w:sz w:val="24"/>
          <w:szCs w:val="24"/>
        </w:rPr>
      </w:pPr>
      <w:r w:rsidRPr="00D61A31">
        <w:rPr>
          <w:rFonts w:asciiTheme="majorBidi" w:hAnsiTheme="majorBidi" w:cstheme="majorBidi"/>
          <w:b/>
          <w:bCs/>
          <w:sz w:val="24"/>
          <w:szCs w:val="24"/>
        </w:rPr>
        <w:t>4.1 Descriptive statistics</w:t>
      </w:r>
    </w:p>
    <w:p w:rsidR="00530757" w:rsidRPr="00D61A31" w:rsidRDefault="00530757" w:rsidP="00530757">
      <w:pPr>
        <w:ind w:left="1145" w:hanging="357"/>
        <w:contextualSpacing/>
        <w:outlineLvl w:val="1"/>
        <w:rPr>
          <w:rFonts w:asciiTheme="majorBidi" w:hAnsiTheme="majorBidi" w:cstheme="majorBidi"/>
          <w:b/>
          <w:bCs/>
          <w:sz w:val="24"/>
          <w:szCs w:val="24"/>
        </w:rPr>
      </w:pPr>
    </w:p>
    <w:p w:rsidR="00931690" w:rsidRDefault="00931690" w:rsidP="00F45517">
      <w:pPr>
        <w:ind w:left="425" w:right="845"/>
        <w:contextualSpacing/>
        <w:jc w:val="both"/>
        <w:rPr>
          <w:sz w:val="24"/>
          <w:szCs w:val="24"/>
        </w:rPr>
      </w:pPr>
      <w:r w:rsidRPr="00DF013B">
        <w:rPr>
          <w:sz w:val="24"/>
          <w:szCs w:val="24"/>
        </w:rPr>
        <w:t xml:space="preserve">Table </w:t>
      </w:r>
      <w:r>
        <w:rPr>
          <w:sz w:val="24"/>
          <w:szCs w:val="24"/>
        </w:rPr>
        <w:t>3</w:t>
      </w:r>
      <w:r w:rsidRPr="00DF013B">
        <w:rPr>
          <w:sz w:val="24"/>
          <w:szCs w:val="24"/>
        </w:rPr>
        <w:t xml:space="preserve"> presents a summary of the descriptive statistics of our research variables included</w:t>
      </w:r>
      <w:r>
        <w:rPr>
          <w:sz w:val="24"/>
          <w:szCs w:val="24"/>
        </w:rPr>
        <w:t xml:space="preserve"> in the model</w:t>
      </w:r>
      <w:r w:rsidRPr="00DF013B">
        <w:rPr>
          <w:sz w:val="24"/>
          <w:szCs w:val="24"/>
        </w:rPr>
        <w:t xml:space="preserve">. Panel A presents the descriptive statistics for the continuous variables in this study, and </w:t>
      </w:r>
      <w:r>
        <w:rPr>
          <w:sz w:val="24"/>
          <w:szCs w:val="24"/>
        </w:rPr>
        <w:t>Panel</w:t>
      </w:r>
      <w:r w:rsidRPr="00DF013B">
        <w:rPr>
          <w:sz w:val="24"/>
          <w:szCs w:val="24"/>
        </w:rPr>
        <w:t xml:space="preserve"> B presents the descriptive statistics for the dichotomous variables in this study.</w:t>
      </w:r>
      <w:r>
        <w:rPr>
          <w:sz w:val="24"/>
          <w:szCs w:val="24"/>
        </w:rPr>
        <w:t xml:space="preserve"> </w:t>
      </w:r>
      <w:r w:rsidRPr="008C1DFF">
        <w:rPr>
          <w:sz w:val="24"/>
          <w:szCs w:val="24"/>
        </w:rPr>
        <w:t>Descriptive analysis suggests that the mean value of the tax avoidance variable, represented by effective tax rates (ETR), is 0. 307.</w:t>
      </w:r>
      <w:r>
        <w:rPr>
          <w:sz w:val="24"/>
          <w:szCs w:val="24"/>
        </w:rPr>
        <w:t xml:space="preserve"> </w:t>
      </w:r>
      <w:r w:rsidRPr="008C1DFF">
        <w:rPr>
          <w:sz w:val="24"/>
          <w:szCs w:val="24"/>
        </w:rPr>
        <w:t xml:space="preserve">This variable </w:t>
      </w:r>
      <w:proofErr w:type="gramStart"/>
      <w:r w:rsidRPr="008C1DFF">
        <w:rPr>
          <w:sz w:val="24"/>
          <w:szCs w:val="24"/>
        </w:rPr>
        <w:t>varies</w:t>
      </w:r>
      <w:proofErr w:type="gramEnd"/>
      <w:r w:rsidRPr="008C1DFF">
        <w:rPr>
          <w:sz w:val="24"/>
          <w:szCs w:val="24"/>
        </w:rPr>
        <w:t xml:space="preserve"> between 0.000 and 0.992. In line with previous studies, such as Toumi et al. (2022) and Guedrib and Bougach (2024), the average value of the ETR proxy means that the more the company engages in tax avoidance activities, the lower its effective tax rate (ETR). Furthermore, over the period studied, some companies are committed to complying with applicable tax regulations to pay the ETR and have not engaged in tax avoidance strategies.</w:t>
      </w:r>
      <w:r>
        <w:rPr>
          <w:sz w:val="24"/>
          <w:szCs w:val="24"/>
        </w:rPr>
        <w:t xml:space="preserve"> Furthermore, t</w:t>
      </w:r>
      <w:r w:rsidRPr="00A85FF2">
        <w:rPr>
          <w:sz w:val="24"/>
          <w:szCs w:val="24"/>
        </w:rPr>
        <w:t xml:space="preserve">he mean value of </w:t>
      </w:r>
      <w:r>
        <w:rPr>
          <w:sz w:val="24"/>
          <w:szCs w:val="24"/>
        </w:rPr>
        <w:t>CED</w:t>
      </w:r>
      <w:r w:rsidRPr="00A85FF2">
        <w:rPr>
          <w:sz w:val="24"/>
          <w:szCs w:val="24"/>
        </w:rPr>
        <w:t xml:space="preserve"> is </w:t>
      </w:r>
      <w:r w:rsidRPr="00FF2BC6">
        <w:rPr>
          <w:rFonts w:asciiTheme="majorBidi" w:hAnsiTheme="majorBidi" w:cstheme="majorBidi"/>
          <w:bCs/>
          <w:sz w:val="24"/>
          <w:szCs w:val="24"/>
        </w:rPr>
        <w:t>50.364</w:t>
      </w:r>
      <w:r w:rsidRPr="00A85FF2">
        <w:rPr>
          <w:sz w:val="24"/>
          <w:szCs w:val="24"/>
        </w:rPr>
        <w:t xml:space="preserve"> with a standard </w:t>
      </w:r>
      <w:r>
        <w:rPr>
          <w:sz w:val="24"/>
          <w:szCs w:val="24"/>
        </w:rPr>
        <w:t>deviation</w:t>
      </w:r>
      <w:r w:rsidRPr="00A85FF2">
        <w:rPr>
          <w:sz w:val="24"/>
          <w:szCs w:val="24"/>
        </w:rPr>
        <w:t xml:space="preserve"> of </w:t>
      </w:r>
      <w:r w:rsidRPr="00FF2BC6">
        <w:rPr>
          <w:rFonts w:asciiTheme="majorBidi" w:hAnsiTheme="majorBidi" w:cstheme="majorBidi"/>
          <w:bCs/>
          <w:sz w:val="24"/>
          <w:szCs w:val="24"/>
        </w:rPr>
        <w:t>22.211</w:t>
      </w:r>
      <w:r w:rsidRPr="00A85FF2">
        <w:rPr>
          <w:sz w:val="24"/>
          <w:szCs w:val="24"/>
        </w:rPr>
        <w:t xml:space="preserve">; It </w:t>
      </w:r>
      <w:proofErr w:type="gramStart"/>
      <w:r w:rsidRPr="00A85FF2">
        <w:rPr>
          <w:sz w:val="24"/>
          <w:szCs w:val="24"/>
        </w:rPr>
        <w:t>varies</w:t>
      </w:r>
      <w:proofErr w:type="gramEnd"/>
      <w:r w:rsidRPr="00A85FF2">
        <w:rPr>
          <w:sz w:val="24"/>
          <w:szCs w:val="24"/>
        </w:rPr>
        <w:t xml:space="preserve"> from a minimum value of 0.00</w:t>
      </w:r>
      <w:r>
        <w:rPr>
          <w:sz w:val="24"/>
          <w:szCs w:val="24"/>
        </w:rPr>
        <w:t>0</w:t>
      </w:r>
      <w:r w:rsidRPr="00A85FF2">
        <w:rPr>
          <w:sz w:val="24"/>
          <w:szCs w:val="24"/>
        </w:rPr>
        <w:t xml:space="preserve"> to a maximum value of </w:t>
      </w:r>
      <w:r>
        <w:rPr>
          <w:sz w:val="24"/>
          <w:szCs w:val="24"/>
        </w:rPr>
        <w:t>99.130</w:t>
      </w:r>
      <w:r w:rsidRPr="00A85FF2">
        <w:rPr>
          <w:sz w:val="24"/>
          <w:szCs w:val="24"/>
        </w:rPr>
        <w:t>.</w:t>
      </w:r>
      <w:r>
        <w:rPr>
          <w:sz w:val="24"/>
          <w:szCs w:val="24"/>
        </w:rPr>
        <w:t xml:space="preserve"> </w:t>
      </w:r>
      <w:r w:rsidRPr="00A85FF2">
        <w:rPr>
          <w:sz w:val="24"/>
          <w:szCs w:val="24"/>
        </w:rPr>
        <w:t>Our descriptive statistics are consistent with previous studies that have examined the link between corporate CSR/</w:t>
      </w:r>
      <w:r>
        <w:rPr>
          <w:sz w:val="24"/>
          <w:szCs w:val="24"/>
        </w:rPr>
        <w:t>environmental transparency</w:t>
      </w:r>
      <w:r w:rsidRPr="00A85FF2">
        <w:rPr>
          <w:sz w:val="24"/>
          <w:szCs w:val="24"/>
        </w:rPr>
        <w:t xml:space="preserve"> and tax avoidance (Lanis and Richardson, </w:t>
      </w:r>
      <w:proofErr w:type="gramStart"/>
      <w:r w:rsidRPr="00A85FF2">
        <w:rPr>
          <w:sz w:val="24"/>
          <w:szCs w:val="24"/>
        </w:rPr>
        <w:t>2015;</w:t>
      </w:r>
      <w:proofErr w:type="gramEnd"/>
      <w:r w:rsidRPr="00A85FF2">
        <w:rPr>
          <w:sz w:val="24"/>
          <w:szCs w:val="24"/>
        </w:rPr>
        <w:t xml:space="preserve"> Zeng, 2019; Silaban and Purba, 2020; Gu and Wang, 2023).</w:t>
      </w:r>
      <w:r>
        <w:rPr>
          <w:sz w:val="24"/>
          <w:szCs w:val="24"/>
        </w:rPr>
        <w:t xml:space="preserve"> </w:t>
      </w:r>
    </w:p>
    <w:p w:rsidR="00530757" w:rsidRDefault="00530757" w:rsidP="00F45517">
      <w:pPr>
        <w:ind w:left="425" w:right="845"/>
        <w:contextualSpacing/>
        <w:jc w:val="both"/>
        <w:rPr>
          <w:sz w:val="24"/>
          <w:szCs w:val="24"/>
        </w:rPr>
      </w:pPr>
    </w:p>
    <w:p w:rsidR="00530757" w:rsidRPr="007460F8" w:rsidRDefault="00530757" w:rsidP="00F45517">
      <w:pPr>
        <w:ind w:left="425" w:right="845"/>
        <w:contextualSpacing/>
        <w:jc w:val="both"/>
        <w:rPr>
          <w:sz w:val="24"/>
          <w:szCs w:val="24"/>
        </w:rPr>
      </w:pPr>
    </w:p>
    <w:p w:rsidR="00931690" w:rsidRPr="00BE69BA" w:rsidRDefault="00931690" w:rsidP="009721CD">
      <w:pPr>
        <w:spacing w:line="360" w:lineRule="auto"/>
        <w:ind w:left="425"/>
        <w:rPr>
          <w:rFonts w:asciiTheme="majorBidi" w:hAnsiTheme="majorBidi" w:cstheme="majorBidi"/>
          <w:sz w:val="24"/>
          <w:szCs w:val="24"/>
        </w:rPr>
      </w:pPr>
      <w:r w:rsidRPr="00B177B4">
        <w:rPr>
          <w:rFonts w:asciiTheme="majorBidi" w:eastAsia="Calibri" w:hAnsiTheme="majorBidi" w:cstheme="majorBidi"/>
          <w:b/>
          <w:sz w:val="24"/>
          <w:szCs w:val="24"/>
        </w:rPr>
        <w:t xml:space="preserve">Table </w:t>
      </w:r>
      <w:r>
        <w:rPr>
          <w:rFonts w:asciiTheme="majorBidi" w:eastAsia="Calibri" w:hAnsiTheme="majorBidi" w:cstheme="majorBidi"/>
          <w:b/>
          <w:sz w:val="24"/>
          <w:szCs w:val="24"/>
        </w:rPr>
        <w:t>3</w:t>
      </w:r>
      <w:r w:rsidRPr="00B177B4">
        <w:rPr>
          <w:rFonts w:asciiTheme="majorBidi" w:eastAsia="Calibri" w:hAnsiTheme="majorBidi" w:cstheme="majorBidi"/>
          <w:b/>
          <w:sz w:val="24"/>
          <w:szCs w:val="24"/>
        </w:rPr>
        <w:t>.</w:t>
      </w:r>
      <w:r w:rsidRPr="00B177B4">
        <w:rPr>
          <w:rFonts w:asciiTheme="majorBidi" w:hAnsiTheme="majorBidi" w:cstheme="majorBidi"/>
          <w:sz w:val="24"/>
          <w:szCs w:val="24"/>
        </w:rPr>
        <w:t xml:space="preserve"> Descriptive statistics</w:t>
      </w:r>
    </w:p>
    <w:tbl>
      <w:tblPr>
        <w:tblW w:w="7796" w:type="dxa"/>
        <w:tblInd w:w="534" w:type="dxa"/>
        <w:tblBorders>
          <w:bottom w:val="single" w:sz="4" w:space="0" w:color="000000"/>
          <w:insideH w:val="single" w:sz="4" w:space="0" w:color="000000"/>
        </w:tblBorders>
        <w:tblLayout w:type="fixed"/>
        <w:tblCellMar>
          <w:top w:w="7" w:type="dxa"/>
        </w:tblCellMar>
        <w:tblLook w:val="04A0" w:firstRow="1" w:lastRow="0" w:firstColumn="1" w:lastColumn="0" w:noHBand="0" w:noVBand="1"/>
      </w:tblPr>
      <w:tblGrid>
        <w:gridCol w:w="1275"/>
        <w:gridCol w:w="1276"/>
        <w:gridCol w:w="1276"/>
        <w:gridCol w:w="1276"/>
        <w:gridCol w:w="1275"/>
        <w:gridCol w:w="1418"/>
      </w:tblGrid>
      <w:tr w:rsidR="00931690" w:rsidRPr="00BC43C6" w:rsidTr="0060190A">
        <w:trPr>
          <w:trHeight w:val="389"/>
        </w:trPr>
        <w:tc>
          <w:tcPr>
            <w:tcW w:w="1275" w:type="dxa"/>
            <w:tcBorders>
              <w:top w:val="single" w:sz="4" w:space="0" w:color="000000"/>
            </w:tcBorders>
          </w:tcPr>
          <w:p w:rsidR="00931690" w:rsidRPr="00F45517" w:rsidRDefault="00931690" w:rsidP="00603949">
            <w:pPr>
              <w:rPr>
                <w:szCs w:val="24"/>
              </w:rPr>
            </w:pPr>
            <w:r w:rsidRPr="00F45517">
              <w:rPr>
                <w:rFonts w:asciiTheme="majorBidi" w:hAnsiTheme="majorBidi" w:cstheme="majorBidi"/>
                <w:szCs w:val="24"/>
              </w:rPr>
              <w:t>Variables</w:t>
            </w:r>
          </w:p>
        </w:tc>
        <w:tc>
          <w:tcPr>
            <w:tcW w:w="1276" w:type="dxa"/>
            <w:tcBorders>
              <w:top w:val="single" w:sz="4" w:space="0" w:color="000000"/>
            </w:tcBorders>
          </w:tcPr>
          <w:p w:rsidR="00931690" w:rsidRPr="00F45517" w:rsidRDefault="00931690" w:rsidP="00603949">
            <w:pPr>
              <w:ind w:left="425"/>
              <w:rPr>
                <w:szCs w:val="24"/>
              </w:rPr>
            </w:pPr>
            <w:r w:rsidRPr="00F45517">
              <w:rPr>
                <w:szCs w:val="24"/>
              </w:rPr>
              <w:t>N</w:t>
            </w:r>
          </w:p>
        </w:tc>
        <w:tc>
          <w:tcPr>
            <w:tcW w:w="1276" w:type="dxa"/>
            <w:tcBorders>
              <w:top w:val="single" w:sz="4" w:space="0" w:color="000000"/>
            </w:tcBorders>
          </w:tcPr>
          <w:p w:rsidR="00931690" w:rsidRPr="00F45517" w:rsidRDefault="00931690" w:rsidP="00603949">
            <w:pPr>
              <w:ind w:left="425"/>
              <w:rPr>
                <w:szCs w:val="24"/>
              </w:rPr>
            </w:pPr>
            <w:r w:rsidRPr="00F45517">
              <w:rPr>
                <w:szCs w:val="24"/>
              </w:rPr>
              <w:t>Mean</w:t>
            </w:r>
          </w:p>
        </w:tc>
        <w:tc>
          <w:tcPr>
            <w:tcW w:w="1276" w:type="dxa"/>
            <w:tcBorders>
              <w:top w:val="single" w:sz="4" w:space="0" w:color="000000"/>
            </w:tcBorders>
          </w:tcPr>
          <w:p w:rsidR="00931690" w:rsidRPr="00F45517" w:rsidRDefault="00931690" w:rsidP="00603949">
            <w:pPr>
              <w:rPr>
                <w:szCs w:val="24"/>
              </w:rPr>
            </w:pPr>
            <w:r w:rsidRPr="00F45517">
              <w:rPr>
                <w:szCs w:val="24"/>
              </w:rPr>
              <w:t>Std. Dev.</w:t>
            </w:r>
          </w:p>
        </w:tc>
        <w:tc>
          <w:tcPr>
            <w:tcW w:w="1275" w:type="dxa"/>
            <w:tcBorders>
              <w:top w:val="single" w:sz="4" w:space="0" w:color="000000"/>
            </w:tcBorders>
          </w:tcPr>
          <w:p w:rsidR="00931690" w:rsidRPr="00F45517" w:rsidRDefault="00931690" w:rsidP="00603949">
            <w:pPr>
              <w:rPr>
                <w:szCs w:val="24"/>
              </w:rPr>
            </w:pPr>
            <w:r w:rsidRPr="00F45517">
              <w:rPr>
                <w:szCs w:val="24"/>
              </w:rPr>
              <w:t>Min</w:t>
            </w:r>
          </w:p>
        </w:tc>
        <w:tc>
          <w:tcPr>
            <w:tcW w:w="1418" w:type="dxa"/>
            <w:tcBorders>
              <w:top w:val="single" w:sz="4" w:space="0" w:color="000000"/>
            </w:tcBorders>
          </w:tcPr>
          <w:p w:rsidR="00931690" w:rsidRPr="00F45517" w:rsidRDefault="00931690" w:rsidP="00603949">
            <w:pPr>
              <w:rPr>
                <w:szCs w:val="24"/>
              </w:rPr>
            </w:pPr>
            <w:r w:rsidRPr="00F45517">
              <w:rPr>
                <w:szCs w:val="24"/>
              </w:rPr>
              <w:t>Max</w:t>
            </w:r>
          </w:p>
        </w:tc>
      </w:tr>
      <w:tr w:rsidR="00931690" w:rsidRPr="00BC43C6" w:rsidTr="0060190A">
        <w:trPr>
          <w:trHeight w:val="389"/>
        </w:trPr>
        <w:tc>
          <w:tcPr>
            <w:tcW w:w="7796" w:type="dxa"/>
            <w:gridSpan w:val="6"/>
          </w:tcPr>
          <w:p w:rsidR="00931690" w:rsidRPr="000539CC" w:rsidRDefault="00931690" w:rsidP="009721CD">
            <w:pPr>
              <w:ind w:left="425"/>
              <w:rPr>
                <w:szCs w:val="24"/>
              </w:rPr>
            </w:pPr>
            <w:r w:rsidRPr="000539CC">
              <w:rPr>
                <w:szCs w:val="24"/>
              </w:rPr>
              <w:t xml:space="preserve">Panel </w:t>
            </w:r>
            <w:proofErr w:type="gramStart"/>
            <w:r w:rsidRPr="000539CC">
              <w:rPr>
                <w:szCs w:val="24"/>
              </w:rPr>
              <w:t>A:</w:t>
            </w:r>
            <w:proofErr w:type="gramEnd"/>
            <w:r w:rsidRPr="000539CC">
              <w:rPr>
                <w:szCs w:val="24"/>
              </w:rPr>
              <w:t xml:space="preserve"> Descriptive statistics for continuous variables</w:t>
            </w:r>
          </w:p>
        </w:tc>
      </w:tr>
      <w:tr w:rsidR="00931690" w:rsidRPr="00BC43C6" w:rsidTr="0060190A">
        <w:trPr>
          <w:trHeight w:val="262"/>
        </w:trPr>
        <w:tc>
          <w:tcPr>
            <w:tcW w:w="1275" w:type="dxa"/>
          </w:tcPr>
          <w:p w:rsidR="00931690" w:rsidRPr="007610E3" w:rsidRDefault="00931690" w:rsidP="009721CD">
            <w:pPr>
              <w:ind w:left="425"/>
              <w:rPr>
                <w:szCs w:val="24"/>
              </w:rPr>
            </w:pPr>
            <w:r w:rsidRPr="007610E3">
              <w:rPr>
                <w:szCs w:val="24"/>
              </w:rPr>
              <w:t>ETR</w:t>
            </w:r>
          </w:p>
        </w:tc>
        <w:tc>
          <w:tcPr>
            <w:tcW w:w="1276" w:type="dxa"/>
          </w:tcPr>
          <w:p w:rsidR="00931690" w:rsidRPr="00F45517" w:rsidRDefault="00931690" w:rsidP="009721CD">
            <w:pPr>
              <w:ind w:left="425"/>
              <w:rPr>
                <w:bCs/>
                <w:szCs w:val="24"/>
              </w:rPr>
            </w:pPr>
            <w:r w:rsidRPr="00F45517">
              <w:rPr>
                <w:rFonts w:asciiTheme="majorBidi" w:hAnsiTheme="majorBidi" w:cstheme="majorBidi"/>
                <w:bCs/>
                <w:szCs w:val="24"/>
              </w:rPr>
              <w:t>1,836</w:t>
            </w:r>
          </w:p>
        </w:tc>
        <w:tc>
          <w:tcPr>
            <w:tcW w:w="1276" w:type="dxa"/>
          </w:tcPr>
          <w:p w:rsidR="00931690" w:rsidRPr="00F45517" w:rsidRDefault="00931690" w:rsidP="009721CD">
            <w:pPr>
              <w:ind w:left="425"/>
              <w:rPr>
                <w:bCs/>
                <w:szCs w:val="24"/>
              </w:rPr>
            </w:pPr>
            <w:r w:rsidRPr="00F45517">
              <w:rPr>
                <w:bCs/>
                <w:szCs w:val="24"/>
              </w:rPr>
              <w:t>0.307</w:t>
            </w:r>
          </w:p>
        </w:tc>
        <w:tc>
          <w:tcPr>
            <w:tcW w:w="1276" w:type="dxa"/>
          </w:tcPr>
          <w:p w:rsidR="00931690" w:rsidRPr="00F45517" w:rsidRDefault="00931690" w:rsidP="009721CD">
            <w:pPr>
              <w:ind w:left="425"/>
              <w:rPr>
                <w:bCs/>
                <w:szCs w:val="24"/>
              </w:rPr>
            </w:pPr>
            <w:r w:rsidRPr="00F45517">
              <w:rPr>
                <w:bCs/>
                <w:szCs w:val="24"/>
              </w:rPr>
              <w:t>0.155</w:t>
            </w:r>
          </w:p>
        </w:tc>
        <w:tc>
          <w:tcPr>
            <w:tcW w:w="1275" w:type="dxa"/>
          </w:tcPr>
          <w:p w:rsidR="00931690" w:rsidRPr="00F45517" w:rsidRDefault="00931690" w:rsidP="009721CD">
            <w:pPr>
              <w:ind w:left="425"/>
              <w:rPr>
                <w:bCs/>
                <w:szCs w:val="24"/>
              </w:rPr>
            </w:pPr>
            <w:r w:rsidRPr="00F45517">
              <w:rPr>
                <w:bCs/>
                <w:szCs w:val="24"/>
              </w:rPr>
              <w:t>0.000</w:t>
            </w:r>
          </w:p>
        </w:tc>
        <w:tc>
          <w:tcPr>
            <w:tcW w:w="1418" w:type="dxa"/>
          </w:tcPr>
          <w:p w:rsidR="00931690" w:rsidRPr="00F45517" w:rsidRDefault="00931690" w:rsidP="009721CD">
            <w:pPr>
              <w:ind w:left="425"/>
              <w:rPr>
                <w:bCs/>
                <w:szCs w:val="24"/>
              </w:rPr>
            </w:pPr>
            <w:r w:rsidRPr="00F45517">
              <w:rPr>
                <w:bCs/>
                <w:szCs w:val="24"/>
              </w:rPr>
              <w:t>0.992</w:t>
            </w:r>
          </w:p>
        </w:tc>
      </w:tr>
      <w:tr w:rsidR="00F45517" w:rsidRPr="00BC43C6" w:rsidTr="0060190A">
        <w:trPr>
          <w:trHeight w:val="262"/>
        </w:trPr>
        <w:tc>
          <w:tcPr>
            <w:tcW w:w="1275" w:type="dxa"/>
          </w:tcPr>
          <w:p w:rsidR="00F45517" w:rsidRPr="007610E3" w:rsidRDefault="00F45517" w:rsidP="00F45517">
            <w:pPr>
              <w:ind w:left="425"/>
              <w:rPr>
                <w:szCs w:val="24"/>
              </w:rPr>
            </w:pPr>
            <w:r>
              <w:rPr>
                <w:szCs w:val="24"/>
              </w:rPr>
              <w:t xml:space="preserve">CED      </w:t>
            </w:r>
          </w:p>
        </w:tc>
        <w:tc>
          <w:tcPr>
            <w:tcW w:w="1276" w:type="dxa"/>
          </w:tcPr>
          <w:p w:rsidR="00F45517" w:rsidRPr="00F45517" w:rsidRDefault="00F45517" w:rsidP="00F45517">
            <w:pPr>
              <w:ind w:left="425"/>
              <w:rPr>
                <w:rFonts w:asciiTheme="majorBidi" w:hAnsiTheme="majorBidi" w:cstheme="majorBidi"/>
                <w:bCs/>
                <w:szCs w:val="24"/>
              </w:rPr>
            </w:pPr>
            <w:r w:rsidRPr="00F45517">
              <w:rPr>
                <w:rFonts w:asciiTheme="majorBidi" w:hAnsiTheme="majorBidi" w:cstheme="majorBidi"/>
                <w:bCs/>
                <w:szCs w:val="24"/>
              </w:rPr>
              <w:t>1,836</w:t>
            </w:r>
            <w:r w:rsidRPr="00F45517">
              <w:rPr>
                <w:bCs/>
                <w:szCs w:val="24"/>
              </w:rPr>
              <w:t xml:space="preserve">                             </w:t>
            </w:r>
          </w:p>
        </w:tc>
        <w:tc>
          <w:tcPr>
            <w:tcW w:w="1276" w:type="dxa"/>
          </w:tcPr>
          <w:p w:rsidR="00F45517" w:rsidRPr="00F45517" w:rsidRDefault="00F45517" w:rsidP="00F45517">
            <w:pPr>
              <w:ind w:left="425"/>
              <w:rPr>
                <w:bCs/>
                <w:szCs w:val="24"/>
              </w:rPr>
            </w:pPr>
            <w:r w:rsidRPr="00F45517">
              <w:rPr>
                <w:rFonts w:asciiTheme="majorBidi" w:hAnsiTheme="majorBidi" w:cstheme="majorBidi"/>
                <w:bCs/>
                <w:szCs w:val="24"/>
              </w:rPr>
              <w:t>50.364</w:t>
            </w:r>
          </w:p>
        </w:tc>
        <w:tc>
          <w:tcPr>
            <w:tcW w:w="1276" w:type="dxa"/>
          </w:tcPr>
          <w:p w:rsidR="00F45517" w:rsidRPr="00F45517" w:rsidRDefault="00F45517" w:rsidP="00F45517">
            <w:pPr>
              <w:ind w:left="425"/>
              <w:rPr>
                <w:bCs/>
                <w:szCs w:val="24"/>
              </w:rPr>
            </w:pPr>
            <w:r w:rsidRPr="00F45517">
              <w:rPr>
                <w:rFonts w:asciiTheme="majorBidi" w:hAnsiTheme="majorBidi" w:cstheme="majorBidi"/>
                <w:bCs/>
                <w:szCs w:val="24"/>
              </w:rPr>
              <w:t>22.211</w:t>
            </w:r>
          </w:p>
        </w:tc>
        <w:tc>
          <w:tcPr>
            <w:tcW w:w="1275" w:type="dxa"/>
          </w:tcPr>
          <w:p w:rsidR="00F45517" w:rsidRPr="00F45517" w:rsidRDefault="00F45517" w:rsidP="00F45517">
            <w:pPr>
              <w:ind w:left="425"/>
              <w:rPr>
                <w:bCs/>
                <w:szCs w:val="24"/>
              </w:rPr>
            </w:pPr>
            <w:r w:rsidRPr="00F45517">
              <w:rPr>
                <w:rFonts w:asciiTheme="majorBidi" w:hAnsiTheme="majorBidi" w:cstheme="majorBidi"/>
                <w:bCs/>
                <w:szCs w:val="24"/>
              </w:rPr>
              <w:t>0.000</w:t>
            </w:r>
          </w:p>
        </w:tc>
        <w:tc>
          <w:tcPr>
            <w:tcW w:w="1418" w:type="dxa"/>
          </w:tcPr>
          <w:p w:rsidR="00F45517" w:rsidRPr="00F45517" w:rsidRDefault="00F45517" w:rsidP="00F45517">
            <w:pPr>
              <w:ind w:left="425"/>
              <w:rPr>
                <w:bCs/>
                <w:szCs w:val="24"/>
              </w:rPr>
            </w:pPr>
            <w:r w:rsidRPr="00F45517">
              <w:rPr>
                <w:rFonts w:asciiTheme="majorBidi" w:hAnsiTheme="majorBidi" w:cstheme="majorBidi"/>
                <w:bCs/>
                <w:szCs w:val="24"/>
              </w:rPr>
              <w:t>99.130</w:t>
            </w:r>
          </w:p>
        </w:tc>
      </w:tr>
      <w:tr w:rsidR="00F45517" w:rsidRPr="00BC43C6" w:rsidTr="0060190A">
        <w:trPr>
          <w:trHeight w:val="389"/>
        </w:trPr>
        <w:tc>
          <w:tcPr>
            <w:tcW w:w="1275" w:type="dxa"/>
          </w:tcPr>
          <w:p w:rsidR="00F45517" w:rsidRPr="007610E3" w:rsidRDefault="00F45517" w:rsidP="00F45517">
            <w:pPr>
              <w:ind w:left="425"/>
              <w:rPr>
                <w:szCs w:val="24"/>
              </w:rPr>
            </w:pPr>
            <w:r w:rsidRPr="007610E3">
              <w:rPr>
                <w:szCs w:val="24"/>
              </w:rPr>
              <w:t>FIRM_LEV</w:t>
            </w:r>
          </w:p>
        </w:tc>
        <w:tc>
          <w:tcPr>
            <w:tcW w:w="1276" w:type="dxa"/>
          </w:tcPr>
          <w:p w:rsidR="00F45517" w:rsidRPr="00F45517" w:rsidRDefault="00F45517" w:rsidP="00F45517">
            <w:pPr>
              <w:ind w:left="425"/>
              <w:rPr>
                <w:bCs/>
                <w:szCs w:val="24"/>
              </w:rPr>
            </w:pPr>
            <w:r w:rsidRPr="00F45517">
              <w:rPr>
                <w:rFonts w:asciiTheme="majorBidi" w:hAnsiTheme="majorBidi" w:cstheme="majorBidi"/>
                <w:bCs/>
                <w:szCs w:val="24"/>
              </w:rPr>
              <w:t>1,836</w:t>
            </w:r>
          </w:p>
        </w:tc>
        <w:tc>
          <w:tcPr>
            <w:tcW w:w="1276" w:type="dxa"/>
          </w:tcPr>
          <w:p w:rsidR="00F45517" w:rsidRPr="00F45517" w:rsidRDefault="00F45517" w:rsidP="00F45517">
            <w:pPr>
              <w:ind w:left="425"/>
              <w:rPr>
                <w:bCs/>
                <w:szCs w:val="24"/>
              </w:rPr>
            </w:pPr>
            <w:r w:rsidRPr="00F45517">
              <w:rPr>
                <w:bCs/>
                <w:szCs w:val="24"/>
              </w:rPr>
              <w:t>0.281</w:t>
            </w:r>
          </w:p>
        </w:tc>
        <w:tc>
          <w:tcPr>
            <w:tcW w:w="1276" w:type="dxa"/>
          </w:tcPr>
          <w:p w:rsidR="00F45517" w:rsidRPr="00F45517" w:rsidRDefault="00F45517" w:rsidP="00F45517">
            <w:pPr>
              <w:ind w:left="425"/>
              <w:rPr>
                <w:bCs/>
                <w:szCs w:val="24"/>
              </w:rPr>
            </w:pPr>
            <w:r w:rsidRPr="00F45517">
              <w:rPr>
                <w:bCs/>
                <w:szCs w:val="24"/>
              </w:rPr>
              <w:t>0.211</w:t>
            </w:r>
          </w:p>
        </w:tc>
        <w:tc>
          <w:tcPr>
            <w:tcW w:w="1275" w:type="dxa"/>
          </w:tcPr>
          <w:p w:rsidR="00F45517" w:rsidRPr="00F45517" w:rsidRDefault="00F45517" w:rsidP="00F45517">
            <w:pPr>
              <w:ind w:left="425"/>
              <w:rPr>
                <w:bCs/>
                <w:szCs w:val="24"/>
              </w:rPr>
            </w:pPr>
            <w:r w:rsidRPr="00F45517">
              <w:rPr>
                <w:bCs/>
                <w:szCs w:val="24"/>
              </w:rPr>
              <w:t>0.000</w:t>
            </w:r>
          </w:p>
        </w:tc>
        <w:tc>
          <w:tcPr>
            <w:tcW w:w="1418" w:type="dxa"/>
          </w:tcPr>
          <w:p w:rsidR="00F45517" w:rsidRPr="00F45517" w:rsidRDefault="00F45517" w:rsidP="00F45517">
            <w:pPr>
              <w:ind w:left="425"/>
              <w:rPr>
                <w:bCs/>
                <w:szCs w:val="24"/>
              </w:rPr>
            </w:pPr>
            <w:r w:rsidRPr="00F45517">
              <w:rPr>
                <w:bCs/>
                <w:szCs w:val="24"/>
              </w:rPr>
              <w:t>2.997</w:t>
            </w:r>
          </w:p>
        </w:tc>
      </w:tr>
      <w:tr w:rsidR="00F45517" w:rsidRPr="00BC43C6" w:rsidTr="0060190A">
        <w:trPr>
          <w:trHeight w:val="389"/>
        </w:trPr>
        <w:tc>
          <w:tcPr>
            <w:tcW w:w="1275" w:type="dxa"/>
          </w:tcPr>
          <w:p w:rsidR="00F45517" w:rsidRPr="007610E3" w:rsidRDefault="00F45517" w:rsidP="00F45517">
            <w:pPr>
              <w:ind w:left="425"/>
              <w:rPr>
                <w:szCs w:val="24"/>
              </w:rPr>
            </w:pPr>
            <w:r w:rsidRPr="007610E3">
              <w:rPr>
                <w:szCs w:val="24"/>
              </w:rPr>
              <w:t>FIRM_SIZE</w:t>
            </w:r>
          </w:p>
        </w:tc>
        <w:tc>
          <w:tcPr>
            <w:tcW w:w="1276" w:type="dxa"/>
          </w:tcPr>
          <w:p w:rsidR="00F45517" w:rsidRPr="00F45517" w:rsidRDefault="00F45517" w:rsidP="00F45517">
            <w:pPr>
              <w:ind w:left="425"/>
              <w:rPr>
                <w:bCs/>
                <w:szCs w:val="24"/>
              </w:rPr>
            </w:pPr>
            <w:r w:rsidRPr="00F45517">
              <w:rPr>
                <w:rFonts w:asciiTheme="majorBidi" w:hAnsiTheme="majorBidi" w:cstheme="majorBidi"/>
                <w:bCs/>
                <w:szCs w:val="24"/>
              </w:rPr>
              <w:t>1,836</w:t>
            </w:r>
          </w:p>
        </w:tc>
        <w:tc>
          <w:tcPr>
            <w:tcW w:w="1276" w:type="dxa"/>
          </w:tcPr>
          <w:p w:rsidR="00F45517" w:rsidRPr="00F45517" w:rsidRDefault="00F45517" w:rsidP="00F45517">
            <w:pPr>
              <w:ind w:left="425"/>
              <w:rPr>
                <w:bCs/>
                <w:szCs w:val="24"/>
              </w:rPr>
            </w:pPr>
            <w:r w:rsidRPr="00F45517">
              <w:rPr>
                <w:bCs/>
                <w:szCs w:val="24"/>
              </w:rPr>
              <w:t>17.047</w:t>
            </w:r>
          </w:p>
        </w:tc>
        <w:tc>
          <w:tcPr>
            <w:tcW w:w="1276" w:type="dxa"/>
          </w:tcPr>
          <w:p w:rsidR="00F45517" w:rsidRPr="00F45517" w:rsidRDefault="00F45517" w:rsidP="00F45517">
            <w:pPr>
              <w:ind w:left="425"/>
              <w:rPr>
                <w:bCs/>
                <w:szCs w:val="24"/>
              </w:rPr>
            </w:pPr>
            <w:r w:rsidRPr="00F45517">
              <w:rPr>
                <w:bCs/>
                <w:szCs w:val="24"/>
              </w:rPr>
              <w:t>2.993</w:t>
            </w:r>
          </w:p>
        </w:tc>
        <w:tc>
          <w:tcPr>
            <w:tcW w:w="1275" w:type="dxa"/>
          </w:tcPr>
          <w:p w:rsidR="00F45517" w:rsidRPr="00F45517" w:rsidRDefault="00F45517" w:rsidP="00F45517">
            <w:pPr>
              <w:ind w:left="425"/>
              <w:rPr>
                <w:bCs/>
                <w:szCs w:val="24"/>
              </w:rPr>
            </w:pPr>
            <w:r w:rsidRPr="00F45517">
              <w:rPr>
                <w:bCs/>
                <w:szCs w:val="24"/>
              </w:rPr>
              <w:t>6.063</w:t>
            </w:r>
          </w:p>
        </w:tc>
        <w:tc>
          <w:tcPr>
            <w:tcW w:w="1418" w:type="dxa"/>
          </w:tcPr>
          <w:p w:rsidR="00F45517" w:rsidRPr="00F45517" w:rsidRDefault="00F45517" w:rsidP="00F45517">
            <w:pPr>
              <w:ind w:left="425"/>
              <w:rPr>
                <w:bCs/>
                <w:szCs w:val="24"/>
              </w:rPr>
            </w:pPr>
            <w:r w:rsidRPr="00F45517">
              <w:rPr>
                <w:bCs/>
                <w:szCs w:val="24"/>
              </w:rPr>
              <w:t>26.769</w:t>
            </w:r>
          </w:p>
        </w:tc>
      </w:tr>
      <w:tr w:rsidR="00F45517" w:rsidRPr="00BC43C6" w:rsidTr="0060190A">
        <w:trPr>
          <w:trHeight w:val="326"/>
        </w:trPr>
        <w:tc>
          <w:tcPr>
            <w:tcW w:w="1275" w:type="dxa"/>
          </w:tcPr>
          <w:p w:rsidR="00F45517" w:rsidRPr="007610E3" w:rsidRDefault="00F45517" w:rsidP="00F45517">
            <w:pPr>
              <w:ind w:left="425"/>
              <w:rPr>
                <w:szCs w:val="24"/>
              </w:rPr>
            </w:pPr>
            <w:r w:rsidRPr="007610E3">
              <w:rPr>
                <w:szCs w:val="24"/>
              </w:rPr>
              <w:t>ROA</w:t>
            </w:r>
          </w:p>
        </w:tc>
        <w:tc>
          <w:tcPr>
            <w:tcW w:w="1276" w:type="dxa"/>
          </w:tcPr>
          <w:p w:rsidR="00F45517" w:rsidRPr="00F45517" w:rsidRDefault="00F45517" w:rsidP="00F45517">
            <w:pPr>
              <w:ind w:left="425"/>
              <w:rPr>
                <w:bCs/>
                <w:szCs w:val="24"/>
              </w:rPr>
            </w:pPr>
            <w:r w:rsidRPr="00F45517">
              <w:rPr>
                <w:rFonts w:asciiTheme="majorBidi" w:hAnsiTheme="majorBidi" w:cstheme="majorBidi"/>
                <w:bCs/>
                <w:szCs w:val="24"/>
              </w:rPr>
              <w:t>1,836</w:t>
            </w:r>
          </w:p>
        </w:tc>
        <w:tc>
          <w:tcPr>
            <w:tcW w:w="1276" w:type="dxa"/>
          </w:tcPr>
          <w:p w:rsidR="00F45517" w:rsidRPr="00F45517" w:rsidRDefault="00F45517" w:rsidP="00F45517">
            <w:pPr>
              <w:ind w:left="425"/>
              <w:rPr>
                <w:bCs/>
                <w:szCs w:val="24"/>
              </w:rPr>
            </w:pPr>
            <w:r w:rsidRPr="00F45517">
              <w:rPr>
                <w:bCs/>
                <w:szCs w:val="24"/>
              </w:rPr>
              <w:t>0.062</w:t>
            </w:r>
          </w:p>
        </w:tc>
        <w:tc>
          <w:tcPr>
            <w:tcW w:w="1276" w:type="dxa"/>
          </w:tcPr>
          <w:p w:rsidR="00F45517" w:rsidRPr="00F45517" w:rsidRDefault="00F45517" w:rsidP="00F45517">
            <w:pPr>
              <w:ind w:left="425"/>
              <w:rPr>
                <w:bCs/>
                <w:szCs w:val="24"/>
              </w:rPr>
            </w:pPr>
            <w:r w:rsidRPr="00F45517">
              <w:rPr>
                <w:bCs/>
                <w:szCs w:val="24"/>
              </w:rPr>
              <w:t>0.085</w:t>
            </w:r>
          </w:p>
        </w:tc>
        <w:tc>
          <w:tcPr>
            <w:tcW w:w="1275" w:type="dxa"/>
          </w:tcPr>
          <w:p w:rsidR="00F45517" w:rsidRPr="00F45517" w:rsidRDefault="00F45517" w:rsidP="00F45517">
            <w:pPr>
              <w:ind w:left="425"/>
              <w:rPr>
                <w:bCs/>
                <w:szCs w:val="24"/>
              </w:rPr>
            </w:pPr>
            <w:r w:rsidRPr="00F45517">
              <w:rPr>
                <w:bCs/>
                <w:szCs w:val="24"/>
              </w:rPr>
              <w:t>-0.969</w:t>
            </w:r>
          </w:p>
        </w:tc>
        <w:tc>
          <w:tcPr>
            <w:tcW w:w="1418" w:type="dxa"/>
          </w:tcPr>
          <w:p w:rsidR="00F45517" w:rsidRPr="00F45517" w:rsidRDefault="00F45517" w:rsidP="00F45517">
            <w:pPr>
              <w:ind w:left="425"/>
              <w:rPr>
                <w:bCs/>
                <w:szCs w:val="24"/>
              </w:rPr>
            </w:pPr>
            <w:r w:rsidRPr="00F45517">
              <w:rPr>
                <w:bCs/>
                <w:szCs w:val="24"/>
              </w:rPr>
              <w:t>0.993</w:t>
            </w:r>
          </w:p>
        </w:tc>
      </w:tr>
      <w:tr w:rsidR="00F45517" w:rsidRPr="00BC43C6" w:rsidTr="0060190A">
        <w:trPr>
          <w:trHeight w:val="325"/>
        </w:trPr>
        <w:tc>
          <w:tcPr>
            <w:tcW w:w="1275" w:type="dxa"/>
            <w:tcBorders>
              <w:bottom w:val="single" w:sz="4" w:space="0" w:color="000000"/>
            </w:tcBorders>
          </w:tcPr>
          <w:p w:rsidR="00F45517" w:rsidRPr="007610E3" w:rsidRDefault="00F45517" w:rsidP="00F45517">
            <w:pPr>
              <w:ind w:left="425"/>
              <w:rPr>
                <w:szCs w:val="24"/>
              </w:rPr>
            </w:pPr>
            <w:r w:rsidRPr="007610E3">
              <w:rPr>
                <w:szCs w:val="24"/>
              </w:rPr>
              <w:t>PPE</w:t>
            </w:r>
          </w:p>
        </w:tc>
        <w:tc>
          <w:tcPr>
            <w:tcW w:w="1276" w:type="dxa"/>
            <w:tcBorders>
              <w:bottom w:val="single" w:sz="4" w:space="0" w:color="000000"/>
            </w:tcBorders>
          </w:tcPr>
          <w:p w:rsidR="00F45517" w:rsidRPr="00F45517" w:rsidRDefault="00F45517" w:rsidP="00F45517">
            <w:pPr>
              <w:ind w:left="425"/>
              <w:rPr>
                <w:bCs/>
                <w:szCs w:val="24"/>
              </w:rPr>
            </w:pPr>
            <w:r w:rsidRPr="00F45517">
              <w:rPr>
                <w:rFonts w:asciiTheme="majorBidi" w:hAnsiTheme="majorBidi" w:cstheme="majorBidi"/>
                <w:bCs/>
                <w:szCs w:val="24"/>
              </w:rPr>
              <w:t>1,836</w:t>
            </w:r>
          </w:p>
        </w:tc>
        <w:tc>
          <w:tcPr>
            <w:tcW w:w="1276" w:type="dxa"/>
            <w:tcBorders>
              <w:bottom w:val="single" w:sz="4" w:space="0" w:color="000000"/>
            </w:tcBorders>
          </w:tcPr>
          <w:p w:rsidR="00F45517" w:rsidRPr="00F45517" w:rsidRDefault="00F45517" w:rsidP="00F45517">
            <w:pPr>
              <w:ind w:left="425"/>
              <w:rPr>
                <w:bCs/>
                <w:szCs w:val="24"/>
              </w:rPr>
            </w:pPr>
            <w:r w:rsidRPr="00F45517">
              <w:rPr>
                <w:bCs/>
                <w:szCs w:val="24"/>
              </w:rPr>
              <w:t>0.347</w:t>
            </w:r>
          </w:p>
        </w:tc>
        <w:tc>
          <w:tcPr>
            <w:tcW w:w="1276" w:type="dxa"/>
            <w:tcBorders>
              <w:bottom w:val="single" w:sz="4" w:space="0" w:color="000000"/>
            </w:tcBorders>
          </w:tcPr>
          <w:p w:rsidR="00F45517" w:rsidRPr="00F45517" w:rsidRDefault="00F45517" w:rsidP="00F45517">
            <w:pPr>
              <w:ind w:left="425"/>
              <w:rPr>
                <w:bCs/>
                <w:szCs w:val="24"/>
              </w:rPr>
            </w:pPr>
            <w:r w:rsidRPr="00F45517">
              <w:rPr>
                <w:bCs/>
                <w:szCs w:val="24"/>
              </w:rPr>
              <w:t>0.238</w:t>
            </w:r>
          </w:p>
        </w:tc>
        <w:tc>
          <w:tcPr>
            <w:tcW w:w="1275" w:type="dxa"/>
            <w:tcBorders>
              <w:bottom w:val="single" w:sz="4" w:space="0" w:color="000000"/>
            </w:tcBorders>
          </w:tcPr>
          <w:p w:rsidR="00F45517" w:rsidRPr="00F45517" w:rsidRDefault="00F45517" w:rsidP="00F45517">
            <w:pPr>
              <w:ind w:left="425"/>
              <w:rPr>
                <w:bCs/>
                <w:szCs w:val="24"/>
              </w:rPr>
            </w:pPr>
            <w:r w:rsidRPr="00F45517">
              <w:rPr>
                <w:bCs/>
                <w:szCs w:val="24"/>
              </w:rPr>
              <w:t>0.000</w:t>
            </w:r>
          </w:p>
        </w:tc>
        <w:tc>
          <w:tcPr>
            <w:tcW w:w="1418" w:type="dxa"/>
            <w:tcBorders>
              <w:bottom w:val="single" w:sz="4" w:space="0" w:color="000000"/>
            </w:tcBorders>
          </w:tcPr>
          <w:p w:rsidR="00F45517" w:rsidRPr="00F45517" w:rsidRDefault="00F45517" w:rsidP="00F45517">
            <w:pPr>
              <w:ind w:left="425"/>
              <w:rPr>
                <w:bCs/>
                <w:szCs w:val="24"/>
              </w:rPr>
            </w:pPr>
            <w:r w:rsidRPr="00F45517">
              <w:rPr>
                <w:bCs/>
                <w:szCs w:val="24"/>
              </w:rPr>
              <w:t>0.999</w:t>
            </w:r>
          </w:p>
        </w:tc>
      </w:tr>
      <w:tr w:rsidR="00F45517" w:rsidRPr="00BC43C6" w:rsidTr="0060190A">
        <w:trPr>
          <w:trHeight w:val="325"/>
        </w:trPr>
        <w:tc>
          <w:tcPr>
            <w:tcW w:w="1275" w:type="dxa"/>
            <w:tcBorders>
              <w:bottom w:val="single" w:sz="4" w:space="0" w:color="000000"/>
            </w:tcBorders>
          </w:tcPr>
          <w:p w:rsidR="00F45517" w:rsidRPr="007610E3" w:rsidRDefault="00F45517" w:rsidP="00F45517">
            <w:pPr>
              <w:ind w:left="425"/>
              <w:rPr>
                <w:szCs w:val="24"/>
              </w:rPr>
            </w:pPr>
            <w:r w:rsidRPr="007610E3">
              <w:rPr>
                <w:szCs w:val="24"/>
              </w:rPr>
              <w:t>CF</w:t>
            </w:r>
          </w:p>
        </w:tc>
        <w:tc>
          <w:tcPr>
            <w:tcW w:w="1276" w:type="dxa"/>
            <w:tcBorders>
              <w:bottom w:val="single" w:sz="4" w:space="0" w:color="000000"/>
            </w:tcBorders>
          </w:tcPr>
          <w:p w:rsidR="00F45517" w:rsidRPr="00F45517" w:rsidRDefault="00F45517" w:rsidP="00F45517">
            <w:pPr>
              <w:ind w:left="425"/>
              <w:rPr>
                <w:bCs/>
                <w:szCs w:val="24"/>
              </w:rPr>
            </w:pPr>
            <w:r w:rsidRPr="00F45517">
              <w:rPr>
                <w:rFonts w:asciiTheme="majorBidi" w:hAnsiTheme="majorBidi" w:cstheme="majorBidi"/>
                <w:bCs/>
                <w:szCs w:val="24"/>
              </w:rPr>
              <w:t>1,836</w:t>
            </w:r>
          </w:p>
        </w:tc>
        <w:tc>
          <w:tcPr>
            <w:tcW w:w="1276" w:type="dxa"/>
            <w:tcBorders>
              <w:bottom w:val="single" w:sz="4" w:space="0" w:color="000000"/>
            </w:tcBorders>
          </w:tcPr>
          <w:p w:rsidR="00F45517" w:rsidRPr="00F45517" w:rsidRDefault="00F45517" w:rsidP="00F45517">
            <w:pPr>
              <w:ind w:left="425"/>
              <w:rPr>
                <w:bCs/>
                <w:szCs w:val="24"/>
              </w:rPr>
            </w:pPr>
            <w:r w:rsidRPr="00F45517">
              <w:rPr>
                <w:bCs/>
                <w:szCs w:val="24"/>
              </w:rPr>
              <w:t>0.893</w:t>
            </w:r>
          </w:p>
        </w:tc>
        <w:tc>
          <w:tcPr>
            <w:tcW w:w="1276" w:type="dxa"/>
            <w:tcBorders>
              <w:bottom w:val="single" w:sz="4" w:space="0" w:color="000000"/>
            </w:tcBorders>
          </w:tcPr>
          <w:p w:rsidR="00F45517" w:rsidRPr="00F45517" w:rsidRDefault="00F45517" w:rsidP="00F45517">
            <w:pPr>
              <w:ind w:left="425"/>
              <w:rPr>
                <w:bCs/>
                <w:szCs w:val="24"/>
              </w:rPr>
            </w:pPr>
            <w:r w:rsidRPr="00F45517">
              <w:rPr>
                <w:bCs/>
                <w:szCs w:val="24"/>
              </w:rPr>
              <w:t>2.462</w:t>
            </w:r>
          </w:p>
        </w:tc>
        <w:tc>
          <w:tcPr>
            <w:tcW w:w="1275" w:type="dxa"/>
            <w:tcBorders>
              <w:bottom w:val="single" w:sz="4" w:space="0" w:color="000000"/>
            </w:tcBorders>
          </w:tcPr>
          <w:p w:rsidR="00F45517" w:rsidRPr="00F45517" w:rsidRDefault="00F45517" w:rsidP="00F45517">
            <w:pPr>
              <w:ind w:left="425"/>
              <w:rPr>
                <w:bCs/>
                <w:szCs w:val="24"/>
              </w:rPr>
            </w:pPr>
            <w:r w:rsidRPr="00F45517">
              <w:rPr>
                <w:bCs/>
                <w:szCs w:val="24"/>
              </w:rPr>
              <w:t>0.000</w:t>
            </w:r>
          </w:p>
        </w:tc>
        <w:tc>
          <w:tcPr>
            <w:tcW w:w="1418" w:type="dxa"/>
            <w:tcBorders>
              <w:bottom w:val="single" w:sz="4" w:space="0" w:color="000000"/>
            </w:tcBorders>
          </w:tcPr>
          <w:p w:rsidR="00F45517" w:rsidRPr="00F45517" w:rsidRDefault="00F45517" w:rsidP="00F45517">
            <w:pPr>
              <w:ind w:left="425"/>
              <w:rPr>
                <w:bCs/>
                <w:szCs w:val="24"/>
              </w:rPr>
            </w:pPr>
            <w:r w:rsidRPr="00F45517">
              <w:rPr>
                <w:bCs/>
                <w:szCs w:val="24"/>
              </w:rPr>
              <w:t>9.946</w:t>
            </w:r>
          </w:p>
        </w:tc>
      </w:tr>
      <w:tr w:rsidR="00F45517" w:rsidRPr="00BC43C6" w:rsidTr="0060190A">
        <w:trPr>
          <w:trHeight w:val="325"/>
        </w:trPr>
        <w:tc>
          <w:tcPr>
            <w:tcW w:w="1275" w:type="dxa"/>
            <w:tcBorders>
              <w:bottom w:val="single" w:sz="4" w:space="0" w:color="000000"/>
            </w:tcBorders>
          </w:tcPr>
          <w:p w:rsidR="00F45517" w:rsidRPr="007610E3" w:rsidRDefault="00F45517" w:rsidP="00F45517">
            <w:pPr>
              <w:ind w:left="425"/>
              <w:rPr>
                <w:szCs w:val="24"/>
              </w:rPr>
            </w:pPr>
            <w:r w:rsidRPr="007610E3">
              <w:rPr>
                <w:szCs w:val="24"/>
              </w:rPr>
              <w:t>MTB</w:t>
            </w:r>
          </w:p>
        </w:tc>
        <w:tc>
          <w:tcPr>
            <w:tcW w:w="1276" w:type="dxa"/>
            <w:tcBorders>
              <w:bottom w:val="single" w:sz="4" w:space="0" w:color="000000"/>
            </w:tcBorders>
          </w:tcPr>
          <w:p w:rsidR="00F45517" w:rsidRPr="00F45517" w:rsidRDefault="00F45517" w:rsidP="00F45517">
            <w:pPr>
              <w:ind w:left="425"/>
              <w:rPr>
                <w:bCs/>
                <w:szCs w:val="24"/>
              </w:rPr>
            </w:pPr>
            <w:r w:rsidRPr="00F45517">
              <w:rPr>
                <w:rFonts w:asciiTheme="majorBidi" w:hAnsiTheme="majorBidi" w:cstheme="majorBidi"/>
                <w:bCs/>
                <w:szCs w:val="24"/>
              </w:rPr>
              <w:t>1,836</w:t>
            </w:r>
          </w:p>
        </w:tc>
        <w:tc>
          <w:tcPr>
            <w:tcW w:w="1276" w:type="dxa"/>
            <w:tcBorders>
              <w:bottom w:val="single" w:sz="4" w:space="0" w:color="000000"/>
            </w:tcBorders>
          </w:tcPr>
          <w:p w:rsidR="00F45517" w:rsidRPr="00F45517" w:rsidRDefault="00F45517" w:rsidP="00F45517">
            <w:pPr>
              <w:ind w:left="425"/>
              <w:rPr>
                <w:bCs/>
                <w:szCs w:val="24"/>
              </w:rPr>
            </w:pPr>
            <w:r w:rsidRPr="00F45517">
              <w:rPr>
                <w:bCs/>
                <w:szCs w:val="24"/>
              </w:rPr>
              <w:t>3.416</w:t>
            </w:r>
          </w:p>
        </w:tc>
        <w:tc>
          <w:tcPr>
            <w:tcW w:w="1276" w:type="dxa"/>
            <w:tcBorders>
              <w:bottom w:val="single" w:sz="4" w:space="0" w:color="000000"/>
            </w:tcBorders>
          </w:tcPr>
          <w:p w:rsidR="00F45517" w:rsidRPr="00F45517" w:rsidRDefault="00F45517" w:rsidP="00F45517">
            <w:pPr>
              <w:ind w:left="425"/>
              <w:rPr>
                <w:bCs/>
                <w:szCs w:val="24"/>
              </w:rPr>
            </w:pPr>
            <w:r w:rsidRPr="00F45517">
              <w:rPr>
                <w:bCs/>
                <w:szCs w:val="24"/>
              </w:rPr>
              <w:t>6.652</w:t>
            </w:r>
          </w:p>
        </w:tc>
        <w:tc>
          <w:tcPr>
            <w:tcW w:w="1275" w:type="dxa"/>
            <w:tcBorders>
              <w:bottom w:val="single" w:sz="4" w:space="0" w:color="000000"/>
            </w:tcBorders>
          </w:tcPr>
          <w:p w:rsidR="00F45517" w:rsidRPr="00F45517" w:rsidRDefault="00F45517" w:rsidP="00F45517">
            <w:pPr>
              <w:ind w:left="425"/>
              <w:rPr>
                <w:bCs/>
                <w:szCs w:val="24"/>
              </w:rPr>
            </w:pPr>
            <w:r w:rsidRPr="00F45517">
              <w:rPr>
                <w:bCs/>
                <w:szCs w:val="24"/>
              </w:rPr>
              <w:t>0.000</w:t>
            </w:r>
          </w:p>
        </w:tc>
        <w:tc>
          <w:tcPr>
            <w:tcW w:w="1418" w:type="dxa"/>
            <w:tcBorders>
              <w:bottom w:val="single" w:sz="4" w:space="0" w:color="000000"/>
            </w:tcBorders>
          </w:tcPr>
          <w:p w:rsidR="00F45517" w:rsidRPr="00F45517" w:rsidRDefault="00F45517" w:rsidP="00F45517">
            <w:pPr>
              <w:ind w:left="425"/>
              <w:rPr>
                <w:bCs/>
                <w:szCs w:val="24"/>
              </w:rPr>
            </w:pPr>
            <w:r w:rsidRPr="00F45517">
              <w:rPr>
                <w:bCs/>
                <w:szCs w:val="24"/>
              </w:rPr>
              <w:t>98.74</w:t>
            </w:r>
          </w:p>
        </w:tc>
      </w:tr>
      <w:tr w:rsidR="00F45517" w:rsidRPr="00BC43C6" w:rsidTr="0060190A">
        <w:trPr>
          <w:trHeight w:val="326"/>
        </w:trPr>
        <w:tc>
          <w:tcPr>
            <w:tcW w:w="7796" w:type="dxa"/>
            <w:gridSpan w:val="6"/>
            <w:tcBorders>
              <w:top w:val="single" w:sz="4" w:space="0" w:color="000000"/>
              <w:bottom w:val="single" w:sz="4" w:space="0" w:color="000000"/>
            </w:tcBorders>
          </w:tcPr>
          <w:p w:rsidR="00F45517" w:rsidRPr="000539CC" w:rsidRDefault="00F45517" w:rsidP="00F45517">
            <w:pPr>
              <w:ind w:left="425"/>
              <w:rPr>
                <w:szCs w:val="24"/>
              </w:rPr>
            </w:pPr>
            <w:r w:rsidRPr="000539CC">
              <w:rPr>
                <w:szCs w:val="24"/>
              </w:rPr>
              <w:lastRenderedPageBreak/>
              <w:t xml:space="preserve">Panel </w:t>
            </w:r>
            <w:proofErr w:type="gramStart"/>
            <w:r w:rsidRPr="000539CC">
              <w:rPr>
                <w:szCs w:val="24"/>
              </w:rPr>
              <w:t>B:</w:t>
            </w:r>
            <w:proofErr w:type="gramEnd"/>
            <w:r w:rsidRPr="000539CC">
              <w:rPr>
                <w:szCs w:val="24"/>
              </w:rPr>
              <w:t xml:space="preserve"> Descriptive statistics for dichotomous variables</w:t>
            </w:r>
          </w:p>
        </w:tc>
      </w:tr>
      <w:tr w:rsidR="00F45517" w:rsidRPr="00BC43C6" w:rsidTr="0060190A">
        <w:trPr>
          <w:trHeight w:val="323"/>
        </w:trPr>
        <w:tc>
          <w:tcPr>
            <w:tcW w:w="2551" w:type="dxa"/>
            <w:gridSpan w:val="2"/>
            <w:tcBorders>
              <w:top w:val="single" w:sz="4" w:space="0" w:color="000000"/>
              <w:left w:val="nil"/>
              <w:bottom w:val="single" w:sz="4" w:space="0" w:color="000000"/>
              <w:right w:val="single" w:sz="4" w:space="0" w:color="000000"/>
            </w:tcBorders>
          </w:tcPr>
          <w:p w:rsidR="00F45517" w:rsidRPr="000539CC" w:rsidRDefault="00F45517" w:rsidP="00F45517">
            <w:pPr>
              <w:ind w:left="425"/>
              <w:rPr>
                <w:rFonts w:asciiTheme="majorBidi" w:hAnsiTheme="majorBidi" w:cstheme="majorBidi"/>
                <w:szCs w:val="24"/>
              </w:rPr>
            </w:pPr>
          </w:p>
        </w:tc>
        <w:tc>
          <w:tcPr>
            <w:tcW w:w="2552" w:type="dxa"/>
            <w:gridSpan w:val="2"/>
            <w:tcBorders>
              <w:top w:val="single" w:sz="4" w:space="0" w:color="000000"/>
              <w:left w:val="single" w:sz="4" w:space="0" w:color="000000"/>
              <w:right w:val="nil"/>
            </w:tcBorders>
          </w:tcPr>
          <w:p w:rsidR="00F45517" w:rsidRPr="00F45517" w:rsidRDefault="00F45517" w:rsidP="00F45517">
            <w:pPr>
              <w:ind w:left="425"/>
              <w:rPr>
                <w:rFonts w:asciiTheme="majorBidi" w:hAnsiTheme="majorBidi" w:cstheme="majorBidi"/>
                <w:bCs/>
                <w:szCs w:val="24"/>
              </w:rPr>
            </w:pPr>
            <w:r w:rsidRPr="00F45517">
              <w:rPr>
                <w:rFonts w:asciiTheme="majorBidi" w:hAnsiTheme="majorBidi" w:cstheme="majorBidi"/>
                <w:bCs/>
                <w:szCs w:val="24"/>
              </w:rPr>
              <w:t>Modalities</w:t>
            </w:r>
          </w:p>
        </w:tc>
        <w:tc>
          <w:tcPr>
            <w:tcW w:w="2693" w:type="dxa"/>
            <w:gridSpan w:val="2"/>
            <w:tcBorders>
              <w:top w:val="single" w:sz="4" w:space="0" w:color="000000"/>
              <w:left w:val="nil"/>
            </w:tcBorders>
          </w:tcPr>
          <w:p w:rsidR="00F45517" w:rsidRPr="00F45517" w:rsidRDefault="00F45517" w:rsidP="00F45517">
            <w:pPr>
              <w:ind w:left="425"/>
              <w:rPr>
                <w:bCs/>
                <w:szCs w:val="24"/>
              </w:rPr>
            </w:pPr>
            <w:r w:rsidRPr="00F45517">
              <w:rPr>
                <w:bCs/>
                <w:szCs w:val="24"/>
              </w:rPr>
              <w:t>%</w:t>
            </w:r>
          </w:p>
        </w:tc>
      </w:tr>
      <w:tr w:rsidR="00F45517" w:rsidRPr="00BC43C6" w:rsidTr="0060190A">
        <w:trPr>
          <w:trHeight w:val="323"/>
        </w:trPr>
        <w:tc>
          <w:tcPr>
            <w:tcW w:w="2551" w:type="dxa"/>
            <w:gridSpan w:val="2"/>
            <w:tcBorders>
              <w:top w:val="single" w:sz="4" w:space="0" w:color="000000"/>
              <w:left w:val="nil"/>
              <w:bottom w:val="nil"/>
              <w:right w:val="single" w:sz="4" w:space="0" w:color="000000"/>
            </w:tcBorders>
          </w:tcPr>
          <w:p w:rsidR="00F45517" w:rsidRPr="007610E3" w:rsidRDefault="00F45517" w:rsidP="00F45517">
            <w:pPr>
              <w:ind w:left="425"/>
              <w:rPr>
                <w:rFonts w:asciiTheme="majorBidi" w:hAnsiTheme="majorBidi" w:cstheme="majorBidi"/>
                <w:szCs w:val="24"/>
              </w:rPr>
            </w:pPr>
            <w:r w:rsidRPr="007610E3">
              <w:rPr>
                <w:rFonts w:asciiTheme="majorBidi" w:hAnsiTheme="majorBidi" w:cstheme="majorBidi"/>
                <w:szCs w:val="24"/>
              </w:rPr>
              <w:t>LEG_SYS</w:t>
            </w:r>
          </w:p>
        </w:tc>
        <w:tc>
          <w:tcPr>
            <w:tcW w:w="2552" w:type="dxa"/>
            <w:gridSpan w:val="2"/>
            <w:tcBorders>
              <w:top w:val="single" w:sz="4" w:space="0" w:color="000000"/>
              <w:left w:val="single" w:sz="4" w:space="0" w:color="000000"/>
              <w:right w:val="nil"/>
            </w:tcBorders>
          </w:tcPr>
          <w:p w:rsidR="00F45517" w:rsidRPr="00F45517" w:rsidRDefault="00F45517" w:rsidP="00F45517">
            <w:pPr>
              <w:ind w:left="425"/>
              <w:rPr>
                <w:rFonts w:asciiTheme="majorBidi" w:hAnsiTheme="majorBidi" w:cstheme="majorBidi"/>
                <w:szCs w:val="24"/>
              </w:rPr>
            </w:pPr>
            <w:r w:rsidRPr="00F45517">
              <w:rPr>
                <w:rFonts w:asciiTheme="majorBidi" w:hAnsiTheme="majorBidi" w:cstheme="majorBidi"/>
                <w:szCs w:val="24"/>
              </w:rPr>
              <w:t>0</w:t>
            </w:r>
          </w:p>
        </w:tc>
        <w:tc>
          <w:tcPr>
            <w:tcW w:w="2693" w:type="dxa"/>
            <w:gridSpan w:val="2"/>
            <w:tcBorders>
              <w:top w:val="single" w:sz="4" w:space="0" w:color="000000"/>
              <w:left w:val="nil"/>
            </w:tcBorders>
          </w:tcPr>
          <w:p w:rsidR="00F45517" w:rsidRPr="00F45517" w:rsidRDefault="00F45517" w:rsidP="00F45517">
            <w:pPr>
              <w:ind w:left="425"/>
              <w:rPr>
                <w:szCs w:val="24"/>
              </w:rPr>
            </w:pPr>
            <w:r w:rsidRPr="00F45517">
              <w:rPr>
                <w:szCs w:val="24"/>
              </w:rPr>
              <w:t>0.40</w:t>
            </w:r>
          </w:p>
        </w:tc>
      </w:tr>
      <w:tr w:rsidR="00F45517" w:rsidRPr="00BC43C6" w:rsidTr="0060190A">
        <w:trPr>
          <w:trHeight w:val="323"/>
        </w:trPr>
        <w:tc>
          <w:tcPr>
            <w:tcW w:w="2551" w:type="dxa"/>
            <w:gridSpan w:val="2"/>
            <w:tcBorders>
              <w:top w:val="nil"/>
              <w:left w:val="nil"/>
              <w:bottom w:val="single" w:sz="4" w:space="0" w:color="000000"/>
              <w:right w:val="single" w:sz="4" w:space="0" w:color="000000"/>
            </w:tcBorders>
          </w:tcPr>
          <w:p w:rsidR="00F45517" w:rsidRPr="007610E3" w:rsidRDefault="00F45517" w:rsidP="00F45517">
            <w:pPr>
              <w:ind w:left="425"/>
              <w:rPr>
                <w:rFonts w:asciiTheme="majorBidi" w:hAnsiTheme="majorBidi" w:cstheme="majorBidi"/>
                <w:szCs w:val="24"/>
              </w:rPr>
            </w:pPr>
          </w:p>
        </w:tc>
        <w:tc>
          <w:tcPr>
            <w:tcW w:w="2552" w:type="dxa"/>
            <w:gridSpan w:val="2"/>
            <w:tcBorders>
              <w:top w:val="single" w:sz="4" w:space="0" w:color="000000"/>
              <w:left w:val="single" w:sz="4" w:space="0" w:color="000000"/>
              <w:bottom w:val="single" w:sz="4" w:space="0" w:color="000000"/>
              <w:right w:val="nil"/>
            </w:tcBorders>
          </w:tcPr>
          <w:p w:rsidR="00F45517" w:rsidRPr="00F45517" w:rsidRDefault="00F45517" w:rsidP="00F45517">
            <w:pPr>
              <w:ind w:left="425"/>
              <w:rPr>
                <w:rFonts w:asciiTheme="majorBidi" w:hAnsiTheme="majorBidi" w:cstheme="majorBidi"/>
                <w:szCs w:val="24"/>
              </w:rPr>
            </w:pPr>
            <w:r w:rsidRPr="00F45517">
              <w:rPr>
                <w:rFonts w:asciiTheme="majorBidi" w:hAnsiTheme="majorBidi" w:cstheme="majorBidi"/>
                <w:szCs w:val="24"/>
              </w:rPr>
              <w:t>1</w:t>
            </w:r>
          </w:p>
        </w:tc>
        <w:tc>
          <w:tcPr>
            <w:tcW w:w="2693" w:type="dxa"/>
            <w:gridSpan w:val="2"/>
            <w:tcBorders>
              <w:top w:val="single" w:sz="4" w:space="0" w:color="000000"/>
              <w:left w:val="nil"/>
              <w:bottom w:val="single" w:sz="4" w:space="0" w:color="000000"/>
            </w:tcBorders>
          </w:tcPr>
          <w:p w:rsidR="00F45517" w:rsidRPr="00F45517" w:rsidRDefault="00F45517" w:rsidP="00F45517">
            <w:pPr>
              <w:ind w:left="425"/>
              <w:rPr>
                <w:szCs w:val="24"/>
              </w:rPr>
            </w:pPr>
            <w:r w:rsidRPr="00F45517">
              <w:rPr>
                <w:szCs w:val="24"/>
              </w:rPr>
              <w:t>0.60</w:t>
            </w:r>
          </w:p>
        </w:tc>
      </w:tr>
      <w:tr w:rsidR="00F45517" w:rsidRPr="00BC43C6" w:rsidTr="0060190A">
        <w:trPr>
          <w:trHeight w:val="323"/>
        </w:trPr>
        <w:tc>
          <w:tcPr>
            <w:tcW w:w="2551" w:type="dxa"/>
            <w:gridSpan w:val="2"/>
            <w:tcBorders>
              <w:top w:val="single" w:sz="4" w:space="0" w:color="000000"/>
              <w:left w:val="nil"/>
              <w:bottom w:val="nil"/>
              <w:right w:val="single" w:sz="4" w:space="0" w:color="000000"/>
            </w:tcBorders>
          </w:tcPr>
          <w:p w:rsidR="00F45517" w:rsidRPr="007610E3" w:rsidRDefault="00F45517" w:rsidP="00F45517">
            <w:pPr>
              <w:ind w:left="425"/>
              <w:rPr>
                <w:rFonts w:asciiTheme="majorBidi" w:hAnsiTheme="majorBidi" w:cstheme="majorBidi"/>
                <w:szCs w:val="24"/>
              </w:rPr>
            </w:pPr>
            <w:r w:rsidRPr="007610E3">
              <w:rPr>
                <w:rFonts w:asciiTheme="majorBidi" w:hAnsiTheme="majorBidi" w:cstheme="majorBidi"/>
                <w:szCs w:val="24"/>
              </w:rPr>
              <w:t>COVID_19</w:t>
            </w:r>
          </w:p>
        </w:tc>
        <w:tc>
          <w:tcPr>
            <w:tcW w:w="2552" w:type="dxa"/>
            <w:gridSpan w:val="2"/>
            <w:tcBorders>
              <w:top w:val="single" w:sz="4" w:space="0" w:color="000000"/>
              <w:left w:val="single" w:sz="4" w:space="0" w:color="000000"/>
              <w:right w:val="nil"/>
            </w:tcBorders>
          </w:tcPr>
          <w:p w:rsidR="00F45517" w:rsidRPr="00F45517" w:rsidRDefault="00F45517" w:rsidP="00F45517">
            <w:pPr>
              <w:ind w:left="425"/>
              <w:rPr>
                <w:rFonts w:asciiTheme="majorBidi" w:hAnsiTheme="majorBidi" w:cstheme="majorBidi"/>
                <w:szCs w:val="24"/>
              </w:rPr>
            </w:pPr>
            <w:r w:rsidRPr="00F45517">
              <w:rPr>
                <w:rFonts w:asciiTheme="majorBidi" w:hAnsiTheme="majorBidi" w:cstheme="majorBidi"/>
                <w:szCs w:val="24"/>
              </w:rPr>
              <w:t>0</w:t>
            </w:r>
          </w:p>
        </w:tc>
        <w:tc>
          <w:tcPr>
            <w:tcW w:w="2693" w:type="dxa"/>
            <w:gridSpan w:val="2"/>
            <w:tcBorders>
              <w:top w:val="single" w:sz="4" w:space="0" w:color="000000"/>
              <w:left w:val="nil"/>
            </w:tcBorders>
          </w:tcPr>
          <w:p w:rsidR="00F45517" w:rsidRPr="00F45517" w:rsidRDefault="00F45517" w:rsidP="00F45517">
            <w:pPr>
              <w:ind w:left="425"/>
              <w:rPr>
                <w:szCs w:val="24"/>
              </w:rPr>
            </w:pPr>
            <w:r w:rsidRPr="00F45517">
              <w:rPr>
                <w:szCs w:val="24"/>
              </w:rPr>
              <w:t>0.67</w:t>
            </w:r>
          </w:p>
        </w:tc>
      </w:tr>
      <w:tr w:rsidR="00F45517" w:rsidRPr="00BC43C6" w:rsidTr="0060190A">
        <w:trPr>
          <w:trHeight w:val="323"/>
        </w:trPr>
        <w:tc>
          <w:tcPr>
            <w:tcW w:w="2551" w:type="dxa"/>
            <w:gridSpan w:val="2"/>
            <w:tcBorders>
              <w:top w:val="nil"/>
              <w:left w:val="nil"/>
              <w:right w:val="single" w:sz="4" w:space="0" w:color="000000"/>
            </w:tcBorders>
          </w:tcPr>
          <w:p w:rsidR="00F45517" w:rsidRPr="000539CC" w:rsidRDefault="00F45517" w:rsidP="00F45517">
            <w:pPr>
              <w:ind w:left="425"/>
              <w:rPr>
                <w:rFonts w:asciiTheme="majorBidi" w:hAnsiTheme="majorBidi" w:cstheme="majorBidi"/>
                <w:szCs w:val="24"/>
              </w:rPr>
            </w:pPr>
          </w:p>
        </w:tc>
        <w:tc>
          <w:tcPr>
            <w:tcW w:w="2552" w:type="dxa"/>
            <w:gridSpan w:val="2"/>
            <w:tcBorders>
              <w:top w:val="single" w:sz="4" w:space="0" w:color="000000"/>
              <w:left w:val="single" w:sz="4" w:space="0" w:color="000000"/>
              <w:right w:val="nil"/>
            </w:tcBorders>
          </w:tcPr>
          <w:p w:rsidR="00F45517" w:rsidRPr="00F45517" w:rsidRDefault="00F45517" w:rsidP="00F45517">
            <w:pPr>
              <w:ind w:left="425"/>
              <w:rPr>
                <w:rFonts w:asciiTheme="majorBidi" w:hAnsiTheme="majorBidi" w:cstheme="majorBidi"/>
                <w:szCs w:val="24"/>
              </w:rPr>
            </w:pPr>
            <w:r w:rsidRPr="00F45517">
              <w:rPr>
                <w:rFonts w:asciiTheme="majorBidi" w:hAnsiTheme="majorBidi" w:cstheme="majorBidi"/>
                <w:szCs w:val="24"/>
              </w:rPr>
              <w:t>1</w:t>
            </w:r>
          </w:p>
        </w:tc>
        <w:tc>
          <w:tcPr>
            <w:tcW w:w="2693" w:type="dxa"/>
            <w:gridSpan w:val="2"/>
            <w:tcBorders>
              <w:top w:val="single" w:sz="4" w:space="0" w:color="000000"/>
              <w:left w:val="nil"/>
            </w:tcBorders>
          </w:tcPr>
          <w:p w:rsidR="00F45517" w:rsidRPr="00F45517" w:rsidRDefault="00F45517" w:rsidP="00F45517">
            <w:pPr>
              <w:ind w:left="425"/>
              <w:rPr>
                <w:szCs w:val="24"/>
              </w:rPr>
            </w:pPr>
            <w:r w:rsidRPr="00F45517">
              <w:rPr>
                <w:szCs w:val="24"/>
              </w:rPr>
              <w:t>0.33</w:t>
            </w:r>
          </w:p>
        </w:tc>
      </w:tr>
    </w:tbl>
    <w:p w:rsidR="00603949" w:rsidRPr="00D65361" w:rsidRDefault="00931690" w:rsidP="00D65361">
      <w:pPr>
        <w:spacing w:line="360" w:lineRule="auto"/>
        <w:ind w:left="425"/>
        <w:rPr>
          <w:sz w:val="18"/>
          <w:szCs w:val="18"/>
        </w:rPr>
      </w:pPr>
      <w:proofErr w:type="gramStart"/>
      <w:r w:rsidRPr="00641D5C">
        <w:rPr>
          <w:b/>
          <w:sz w:val="18"/>
          <w:szCs w:val="18"/>
        </w:rPr>
        <w:t>Source:</w:t>
      </w:r>
      <w:proofErr w:type="gramEnd"/>
      <w:r w:rsidRPr="00641D5C">
        <w:rPr>
          <w:sz w:val="18"/>
          <w:szCs w:val="18"/>
        </w:rPr>
        <w:t xml:space="preserve"> Authors’ own work</w:t>
      </w:r>
    </w:p>
    <w:p w:rsidR="00603949" w:rsidRDefault="00603949" w:rsidP="009721CD">
      <w:pPr>
        <w:spacing w:line="360" w:lineRule="auto"/>
        <w:ind w:left="425"/>
        <w:rPr>
          <w:rFonts w:asciiTheme="majorBidi" w:hAnsiTheme="majorBidi" w:cstheme="majorBidi"/>
          <w:bCs/>
          <w:i/>
          <w:sz w:val="24"/>
          <w:szCs w:val="24"/>
        </w:rPr>
      </w:pPr>
    </w:p>
    <w:p w:rsidR="00931690" w:rsidRDefault="00931690" w:rsidP="00530757">
      <w:pPr>
        <w:ind w:left="1145" w:hanging="357"/>
        <w:outlineLvl w:val="1"/>
        <w:rPr>
          <w:b/>
          <w:iCs/>
          <w:sz w:val="24"/>
          <w:szCs w:val="24"/>
        </w:rPr>
      </w:pPr>
      <w:r w:rsidRPr="00530757">
        <w:rPr>
          <w:rFonts w:asciiTheme="majorBidi" w:hAnsiTheme="majorBidi" w:cstheme="majorBidi"/>
          <w:b/>
          <w:iCs/>
          <w:sz w:val="24"/>
          <w:szCs w:val="24"/>
        </w:rPr>
        <w:t xml:space="preserve">4.2 </w:t>
      </w:r>
      <w:r w:rsidRPr="00530757">
        <w:rPr>
          <w:b/>
          <w:iCs/>
          <w:sz w:val="24"/>
          <w:szCs w:val="24"/>
        </w:rPr>
        <w:t>Correlation Matrix and VIF Values</w:t>
      </w:r>
    </w:p>
    <w:p w:rsidR="00530757" w:rsidRPr="00530757" w:rsidRDefault="00530757" w:rsidP="00530757">
      <w:pPr>
        <w:ind w:left="1145" w:hanging="357"/>
        <w:outlineLvl w:val="1"/>
        <w:rPr>
          <w:b/>
          <w:iCs/>
          <w:sz w:val="24"/>
          <w:szCs w:val="24"/>
        </w:rPr>
      </w:pPr>
    </w:p>
    <w:p w:rsidR="00931690" w:rsidRPr="00B177B4" w:rsidRDefault="00931690" w:rsidP="000072B8">
      <w:pPr>
        <w:ind w:left="425" w:right="845"/>
        <w:jc w:val="both"/>
        <w:rPr>
          <w:rFonts w:asciiTheme="majorBidi" w:hAnsiTheme="majorBidi" w:cstheme="majorBidi"/>
          <w:bCs/>
          <w:sz w:val="24"/>
          <w:szCs w:val="24"/>
        </w:rPr>
      </w:pPr>
      <w:r w:rsidRPr="00B177B4">
        <w:rPr>
          <w:rFonts w:asciiTheme="majorBidi" w:hAnsiTheme="majorBidi" w:cstheme="majorBidi"/>
          <w:bCs/>
          <w:sz w:val="24"/>
          <w:szCs w:val="24"/>
        </w:rPr>
        <w:t xml:space="preserve">Table </w:t>
      </w:r>
      <w:r>
        <w:rPr>
          <w:rFonts w:asciiTheme="majorBidi" w:hAnsiTheme="majorBidi" w:cstheme="majorBidi"/>
          <w:bCs/>
          <w:sz w:val="24"/>
          <w:szCs w:val="24"/>
        </w:rPr>
        <w:t>4</w:t>
      </w:r>
      <w:r w:rsidRPr="00B177B4">
        <w:rPr>
          <w:rFonts w:asciiTheme="majorBidi" w:hAnsiTheme="majorBidi" w:cstheme="majorBidi"/>
          <w:bCs/>
          <w:sz w:val="24"/>
          <w:szCs w:val="24"/>
        </w:rPr>
        <w:t xml:space="preserve"> presents the Pearson correlation coefficients for the independent variables. The problem of multicollinearity does not exist between the independent variables, as the values never exceed the critical limit. According to Kennedy (2003), the Pearson correlation coefficient should not exceed 0.75. Thus, for each of the estimates presented above, the correlations between the independent variables are </w:t>
      </w:r>
      <w:proofErr w:type="gramStart"/>
      <w:r w:rsidRPr="00B177B4">
        <w:rPr>
          <w:rFonts w:asciiTheme="majorBidi" w:hAnsiTheme="majorBidi" w:cstheme="majorBidi"/>
          <w:bCs/>
          <w:sz w:val="24"/>
          <w:szCs w:val="24"/>
        </w:rPr>
        <w:t>reduced;</w:t>
      </w:r>
      <w:proofErr w:type="gramEnd"/>
      <w:r w:rsidRPr="00B177B4">
        <w:rPr>
          <w:rFonts w:asciiTheme="majorBidi" w:hAnsiTheme="majorBidi" w:cstheme="majorBidi"/>
          <w:bCs/>
          <w:sz w:val="24"/>
          <w:szCs w:val="24"/>
        </w:rPr>
        <w:t xml:space="preserve"> therefore, the precision of our estimates does not seem to be strongly affected by high regressor correlations. </w:t>
      </w:r>
    </w:p>
    <w:p w:rsidR="00150492" w:rsidRPr="004919EC" w:rsidRDefault="00150492" w:rsidP="00150492">
      <w:pPr>
        <w:tabs>
          <w:tab w:val="left" w:pos="2964"/>
        </w:tabs>
        <w:spacing w:line="360" w:lineRule="auto"/>
        <w:rPr>
          <w:rFonts w:asciiTheme="majorBidi" w:hAnsiTheme="majorBidi" w:cstheme="majorBidi"/>
          <w:sz w:val="24"/>
          <w:szCs w:val="24"/>
        </w:rPr>
        <w:sectPr w:rsidR="00150492" w:rsidRPr="004919EC" w:rsidSect="00931690">
          <w:headerReference w:type="default" r:id="rId11"/>
          <w:footerReference w:type="default" r:id="rId12"/>
          <w:pgSz w:w="11906" w:h="16838"/>
          <w:pgMar w:top="1417" w:right="1417" w:bottom="1417" w:left="1417" w:header="708" w:footer="708" w:gutter="0"/>
          <w:cols w:space="708"/>
          <w:docGrid w:linePitch="360"/>
        </w:sectPr>
      </w:pPr>
    </w:p>
    <w:p w:rsidR="00153B5C" w:rsidRDefault="00153B5C" w:rsidP="009721CD">
      <w:pPr>
        <w:spacing w:line="360" w:lineRule="auto"/>
        <w:ind w:left="425" w:right="470"/>
        <w:rPr>
          <w:b/>
          <w:sz w:val="24"/>
          <w:szCs w:val="24"/>
        </w:rPr>
      </w:pPr>
    </w:p>
    <w:p w:rsidR="00931690" w:rsidRPr="00B177B4" w:rsidRDefault="00931690" w:rsidP="009721CD">
      <w:pPr>
        <w:spacing w:line="360" w:lineRule="auto"/>
        <w:ind w:left="425" w:right="470"/>
        <w:rPr>
          <w:sz w:val="24"/>
          <w:szCs w:val="24"/>
        </w:rPr>
      </w:pPr>
      <w:r>
        <w:rPr>
          <w:b/>
          <w:sz w:val="24"/>
          <w:szCs w:val="24"/>
        </w:rPr>
        <w:t>Table 4</w:t>
      </w:r>
      <w:r w:rsidRPr="00B177B4">
        <w:rPr>
          <w:b/>
          <w:sz w:val="24"/>
          <w:szCs w:val="24"/>
        </w:rPr>
        <w:t xml:space="preserve">. </w:t>
      </w:r>
      <w:r w:rsidRPr="00B177B4">
        <w:rPr>
          <w:sz w:val="24"/>
          <w:szCs w:val="24"/>
        </w:rPr>
        <w:t>Pearson</w:t>
      </w:r>
      <w:r>
        <w:rPr>
          <w:sz w:val="24"/>
          <w:szCs w:val="24"/>
        </w:rPr>
        <w:t xml:space="preserve"> correlation matrix</w:t>
      </w:r>
    </w:p>
    <w:tbl>
      <w:tblPr>
        <w:tblW w:w="12707" w:type="dxa"/>
        <w:tblInd w:w="534" w:type="dxa"/>
        <w:tblBorders>
          <w:top w:val="single" w:sz="4" w:space="0" w:color="auto"/>
          <w:bottom w:val="single" w:sz="4" w:space="0" w:color="auto"/>
        </w:tblBorders>
        <w:tblLayout w:type="fixed"/>
        <w:tblLook w:val="04A0" w:firstRow="1" w:lastRow="0" w:firstColumn="1" w:lastColumn="0" w:noHBand="0" w:noVBand="1"/>
      </w:tblPr>
      <w:tblGrid>
        <w:gridCol w:w="2578"/>
        <w:gridCol w:w="1106"/>
        <w:gridCol w:w="1104"/>
        <w:gridCol w:w="1106"/>
        <w:gridCol w:w="1104"/>
        <w:gridCol w:w="1106"/>
        <w:gridCol w:w="1104"/>
        <w:gridCol w:w="1106"/>
        <w:gridCol w:w="1289"/>
        <w:gridCol w:w="1104"/>
      </w:tblGrid>
      <w:tr w:rsidR="00153B5C" w:rsidRPr="007610E3" w:rsidTr="00153B5C">
        <w:trPr>
          <w:trHeight w:val="147"/>
        </w:trPr>
        <w:tc>
          <w:tcPr>
            <w:tcW w:w="2578" w:type="dxa"/>
            <w:tcBorders>
              <w:top w:val="single" w:sz="4" w:space="0" w:color="auto"/>
              <w:bottom w:val="single" w:sz="4" w:space="0" w:color="auto"/>
            </w:tcBorders>
          </w:tcPr>
          <w:p w:rsidR="00931690" w:rsidRPr="007610E3" w:rsidRDefault="00931690" w:rsidP="00153B5C">
            <w:pPr>
              <w:tabs>
                <w:tab w:val="center" w:pos="7001"/>
              </w:tabs>
              <w:rPr>
                <w:sz w:val="24"/>
                <w:szCs w:val="24"/>
              </w:rPr>
            </w:pPr>
          </w:p>
        </w:tc>
        <w:tc>
          <w:tcPr>
            <w:tcW w:w="1106"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(1)</w:t>
            </w:r>
          </w:p>
        </w:tc>
        <w:tc>
          <w:tcPr>
            <w:tcW w:w="1104"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(2)</w:t>
            </w:r>
          </w:p>
        </w:tc>
        <w:tc>
          <w:tcPr>
            <w:tcW w:w="1106"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(3)</w:t>
            </w:r>
          </w:p>
        </w:tc>
        <w:tc>
          <w:tcPr>
            <w:tcW w:w="1104"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(4)</w:t>
            </w:r>
          </w:p>
        </w:tc>
        <w:tc>
          <w:tcPr>
            <w:tcW w:w="1106"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(5)</w:t>
            </w:r>
          </w:p>
        </w:tc>
        <w:tc>
          <w:tcPr>
            <w:tcW w:w="1104"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(6)</w:t>
            </w:r>
          </w:p>
        </w:tc>
        <w:tc>
          <w:tcPr>
            <w:tcW w:w="1106"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(7)</w:t>
            </w:r>
          </w:p>
        </w:tc>
        <w:tc>
          <w:tcPr>
            <w:tcW w:w="1289"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(8)</w:t>
            </w:r>
          </w:p>
        </w:tc>
        <w:tc>
          <w:tcPr>
            <w:tcW w:w="1104" w:type="dxa"/>
            <w:tcBorders>
              <w:top w:val="single" w:sz="4" w:space="0" w:color="auto"/>
              <w:bottom w:val="single" w:sz="4" w:space="0" w:color="auto"/>
            </w:tcBorders>
          </w:tcPr>
          <w:p w:rsidR="00931690" w:rsidRPr="007610E3" w:rsidRDefault="00931690" w:rsidP="00153B5C">
            <w:pPr>
              <w:tabs>
                <w:tab w:val="center" w:pos="7001"/>
              </w:tabs>
              <w:rPr>
                <w:sz w:val="24"/>
                <w:szCs w:val="24"/>
              </w:rPr>
            </w:pPr>
            <w:r w:rsidRPr="007610E3">
              <w:rPr>
                <w:b/>
                <w:sz w:val="24"/>
                <w:szCs w:val="24"/>
              </w:rPr>
              <w:t>(9)</w:t>
            </w:r>
          </w:p>
        </w:tc>
      </w:tr>
      <w:tr w:rsidR="00153B5C" w:rsidRPr="007610E3" w:rsidTr="00153B5C">
        <w:trPr>
          <w:trHeight w:val="272"/>
        </w:trPr>
        <w:tc>
          <w:tcPr>
            <w:tcW w:w="2578" w:type="dxa"/>
            <w:tcBorders>
              <w:top w:val="single" w:sz="4" w:space="0" w:color="auto"/>
            </w:tcBorders>
          </w:tcPr>
          <w:p w:rsidR="00931690" w:rsidRPr="007610E3" w:rsidRDefault="00931690" w:rsidP="00153B5C">
            <w:pPr>
              <w:rPr>
                <w:b/>
                <w:sz w:val="24"/>
                <w:szCs w:val="24"/>
              </w:rPr>
            </w:pPr>
            <w:proofErr w:type="gramStart"/>
            <w:r>
              <w:rPr>
                <w:b/>
                <w:sz w:val="24"/>
                <w:szCs w:val="24"/>
              </w:rPr>
              <w:t>CED</w:t>
            </w:r>
            <w:r w:rsidRPr="007610E3">
              <w:rPr>
                <w:b/>
                <w:sz w:val="24"/>
                <w:szCs w:val="24"/>
              </w:rPr>
              <w:t>(</w:t>
            </w:r>
            <w:proofErr w:type="gramEnd"/>
            <w:r w:rsidRPr="007610E3">
              <w:rPr>
                <w:b/>
                <w:sz w:val="24"/>
                <w:szCs w:val="24"/>
              </w:rPr>
              <w:t>1)</w:t>
            </w:r>
          </w:p>
        </w:tc>
        <w:tc>
          <w:tcPr>
            <w:tcW w:w="1106" w:type="dxa"/>
            <w:tcBorders>
              <w:top w:val="single" w:sz="4" w:space="0" w:color="auto"/>
            </w:tcBorders>
          </w:tcPr>
          <w:p w:rsidR="00931690" w:rsidRPr="007610E3" w:rsidRDefault="00931690" w:rsidP="00153B5C">
            <w:pPr>
              <w:tabs>
                <w:tab w:val="center" w:pos="7001"/>
              </w:tabs>
              <w:rPr>
                <w:b/>
                <w:sz w:val="24"/>
                <w:szCs w:val="24"/>
              </w:rPr>
            </w:pPr>
            <w:r w:rsidRPr="007610E3">
              <w:rPr>
                <w:b/>
                <w:sz w:val="24"/>
                <w:szCs w:val="24"/>
              </w:rPr>
              <w:t>1.000</w:t>
            </w:r>
          </w:p>
        </w:tc>
        <w:tc>
          <w:tcPr>
            <w:tcW w:w="1104" w:type="dxa"/>
            <w:tcBorders>
              <w:top w:val="single" w:sz="4" w:space="0" w:color="auto"/>
            </w:tcBorders>
          </w:tcPr>
          <w:p w:rsidR="00931690" w:rsidRPr="007610E3" w:rsidRDefault="00931690" w:rsidP="00153B5C">
            <w:pPr>
              <w:tabs>
                <w:tab w:val="center" w:pos="7001"/>
              </w:tabs>
              <w:rPr>
                <w:sz w:val="24"/>
                <w:szCs w:val="24"/>
              </w:rPr>
            </w:pPr>
          </w:p>
        </w:tc>
        <w:tc>
          <w:tcPr>
            <w:tcW w:w="1106" w:type="dxa"/>
            <w:tcBorders>
              <w:top w:val="single" w:sz="4" w:space="0" w:color="auto"/>
            </w:tcBorders>
          </w:tcPr>
          <w:p w:rsidR="00931690" w:rsidRPr="007610E3" w:rsidRDefault="00931690" w:rsidP="00153B5C">
            <w:pPr>
              <w:tabs>
                <w:tab w:val="center" w:pos="7001"/>
              </w:tabs>
              <w:rPr>
                <w:sz w:val="24"/>
                <w:szCs w:val="24"/>
              </w:rPr>
            </w:pPr>
          </w:p>
        </w:tc>
        <w:tc>
          <w:tcPr>
            <w:tcW w:w="1104" w:type="dxa"/>
            <w:tcBorders>
              <w:top w:val="single" w:sz="4" w:space="0" w:color="auto"/>
            </w:tcBorders>
          </w:tcPr>
          <w:p w:rsidR="00931690" w:rsidRPr="007610E3" w:rsidRDefault="00931690" w:rsidP="00153B5C">
            <w:pPr>
              <w:tabs>
                <w:tab w:val="center" w:pos="7001"/>
              </w:tabs>
              <w:rPr>
                <w:sz w:val="24"/>
                <w:szCs w:val="24"/>
              </w:rPr>
            </w:pPr>
          </w:p>
        </w:tc>
        <w:tc>
          <w:tcPr>
            <w:tcW w:w="1106" w:type="dxa"/>
            <w:tcBorders>
              <w:top w:val="single" w:sz="4" w:space="0" w:color="auto"/>
            </w:tcBorders>
          </w:tcPr>
          <w:p w:rsidR="00931690" w:rsidRPr="007610E3" w:rsidRDefault="00931690" w:rsidP="00153B5C">
            <w:pPr>
              <w:tabs>
                <w:tab w:val="center" w:pos="7001"/>
              </w:tabs>
              <w:rPr>
                <w:sz w:val="24"/>
                <w:szCs w:val="24"/>
              </w:rPr>
            </w:pPr>
          </w:p>
        </w:tc>
        <w:tc>
          <w:tcPr>
            <w:tcW w:w="1104" w:type="dxa"/>
            <w:tcBorders>
              <w:top w:val="single" w:sz="4" w:space="0" w:color="auto"/>
            </w:tcBorders>
          </w:tcPr>
          <w:p w:rsidR="00931690" w:rsidRPr="007610E3" w:rsidRDefault="00931690" w:rsidP="00153B5C">
            <w:pPr>
              <w:tabs>
                <w:tab w:val="center" w:pos="7001"/>
              </w:tabs>
              <w:rPr>
                <w:sz w:val="24"/>
                <w:szCs w:val="24"/>
              </w:rPr>
            </w:pPr>
          </w:p>
        </w:tc>
        <w:tc>
          <w:tcPr>
            <w:tcW w:w="1106" w:type="dxa"/>
            <w:tcBorders>
              <w:top w:val="single" w:sz="4" w:space="0" w:color="auto"/>
            </w:tcBorders>
          </w:tcPr>
          <w:p w:rsidR="00931690" w:rsidRPr="007610E3" w:rsidRDefault="00931690" w:rsidP="00153B5C">
            <w:pPr>
              <w:tabs>
                <w:tab w:val="center" w:pos="7001"/>
              </w:tabs>
              <w:rPr>
                <w:sz w:val="24"/>
                <w:szCs w:val="24"/>
              </w:rPr>
            </w:pPr>
          </w:p>
        </w:tc>
        <w:tc>
          <w:tcPr>
            <w:tcW w:w="1289" w:type="dxa"/>
            <w:tcBorders>
              <w:top w:val="single" w:sz="4" w:space="0" w:color="auto"/>
            </w:tcBorders>
          </w:tcPr>
          <w:p w:rsidR="00931690" w:rsidRPr="007610E3" w:rsidRDefault="00931690" w:rsidP="00153B5C">
            <w:pPr>
              <w:tabs>
                <w:tab w:val="center" w:pos="7001"/>
              </w:tabs>
              <w:rPr>
                <w:sz w:val="24"/>
                <w:szCs w:val="24"/>
              </w:rPr>
            </w:pPr>
          </w:p>
        </w:tc>
        <w:tc>
          <w:tcPr>
            <w:tcW w:w="1104" w:type="dxa"/>
            <w:tcBorders>
              <w:top w:val="single" w:sz="4" w:space="0" w:color="auto"/>
            </w:tcBorders>
          </w:tcPr>
          <w:p w:rsidR="00931690" w:rsidRPr="007610E3" w:rsidRDefault="00931690" w:rsidP="00153B5C">
            <w:pPr>
              <w:tabs>
                <w:tab w:val="center" w:pos="7001"/>
              </w:tabs>
              <w:rPr>
                <w:sz w:val="24"/>
                <w:szCs w:val="24"/>
              </w:rPr>
            </w:pPr>
          </w:p>
        </w:tc>
      </w:tr>
      <w:tr w:rsidR="00153B5C" w:rsidRPr="007610E3" w:rsidTr="00153B5C">
        <w:trPr>
          <w:trHeight w:val="355"/>
        </w:trPr>
        <w:tc>
          <w:tcPr>
            <w:tcW w:w="2578" w:type="dxa"/>
          </w:tcPr>
          <w:p w:rsidR="00931690" w:rsidRPr="007610E3" w:rsidRDefault="00931690" w:rsidP="00153B5C">
            <w:pPr>
              <w:rPr>
                <w:b/>
                <w:sz w:val="24"/>
                <w:szCs w:val="24"/>
              </w:rPr>
            </w:pPr>
            <w:r w:rsidRPr="007610E3">
              <w:rPr>
                <w:b/>
                <w:sz w:val="24"/>
                <w:szCs w:val="24"/>
              </w:rPr>
              <w:t>FIRM_</w:t>
            </w:r>
            <w:proofErr w:type="gramStart"/>
            <w:r w:rsidRPr="007610E3">
              <w:rPr>
                <w:b/>
                <w:sz w:val="24"/>
                <w:szCs w:val="24"/>
              </w:rPr>
              <w:t>LEV(</w:t>
            </w:r>
            <w:proofErr w:type="gramEnd"/>
            <w:r>
              <w:rPr>
                <w:b/>
                <w:sz w:val="24"/>
                <w:szCs w:val="24"/>
              </w:rPr>
              <w:t>2</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0.079</w:t>
            </w:r>
          </w:p>
        </w:tc>
        <w:tc>
          <w:tcPr>
            <w:tcW w:w="1104" w:type="dxa"/>
          </w:tcPr>
          <w:p w:rsidR="00931690" w:rsidRPr="007610E3" w:rsidRDefault="00931690" w:rsidP="00153B5C">
            <w:pPr>
              <w:tabs>
                <w:tab w:val="center" w:pos="7001"/>
              </w:tabs>
              <w:rPr>
                <w:sz w:val="24"/>
                <w:szCs w:val="24"/>
              </w:rPr>
            </w:pPr>
            <w:r w:rsidRPr="007610E3">
              <w:rPr>
                <w:b/>
                <w:sz w:val="24"/>
                <w:szCs w:val="24"/>
              </w:rPr>
              <w:t>1.000</w:t>
            </w:r>
          </w:p>
        </w:tc>
        <w:tc>
          <w:tcPr>
            <w:tcW w:w="1106"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c>
          <w:tcPr>
            <w:tcW w:w="1106"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c>
          <w:tcPr>
            <w:tcW w:w="1106" w:type="dxa"/>
          </w:tcPr>
          <w:p w:rsidR="00931690" w:rsidRPr="007610E3" w:rsidRDefault="00931690" w:rsidP="00153B5C">
            <w:pPr>
              <w:tabs>
                <w:tab w:val="center" w:pos="7001"/>
              </w:tabs>
              <w:rPr>
                <w:sz w:val="24"/>
                <w:szCs w:val="24"/>
              </w:rPr>
            </w:pPr>
          </w:p>
        </w:tc>
        <w:tc>
          <w:tcPr>
            <w:tcW w:w="1289" w:type="dxa"/>
          </w:tcPr>
          <w:p w:rsidR="00931690" w:rsidRPr="007610E3" w:rsidRDefault="00931690" w:rsidP="00153B5C">
            <w:pPr>
              <w:tabs>
                <w:tab w:val="center" w:pos="7001"/>
              </w:tabs>
              <w:rPr>
                <w:b/>
                <w:sz w:val="24"/>
                <w:szCs w:val="24"/>
              </w:rPr>
            </w:pPr>
          </w:p>
        </w:tc>
        <w:tc>
          <w:tcPr>
            <w:tcW w:w="1104" w:type="dxa"/>
          </w:tcPr>
          <w:p w:rsidR="00931690" w:rsidRPr="007610E3" w:rsidRDefault="00931690" w:rsidP="00153B5C">
            <w:pPr>
              <w:tabs>
                <w:tab w:val="center" w:pos="7001"/>
              </w:tabs>
              <w:rPr>
                <w:sz w:val="24"/>
                <w:szCs w:val="24"/>
              </w:rPr>
            </w:pPr>
          </w:p>
        </w:tc>
      </w:tr>
      <w:tr w:rsidR="00153B5C" w:rsidRPr="007610E3" w:rsidTr="00153B5C">
        <w:trPr>
          <w:trHeight w:val="356"/>
        </w:trPr>
        <w:tc>
          <w:tcPr>
            <w:tcW w:w="2578" w:type="dxa"/>
          </w:tcPr>
          <w:p w:rsidR="00931690" w:rsidRPr="007610E3" w:rsidRDefault="00931690" w:rsidP="00153B5C">
            <w:pPr>
              <w:rPr>
                <w:b/>
                <w:sz w:val="24"/>
                <w:szCs w:val="24"/>
              </w:rPr>
            </w:pPr>
            <w:r w:rsidRPr="007610E3">
              <w:rPr>
                <w:b/>
                <w:sz w:val="24"/>
                <w:szCs w:val="24"/>
              </w:rPr>
              <w:t>FIRM_</w:t>
            </w:r>
            <w:proofErr w:type="gramStart"/>
            <w:r w:rsidRPr="007610E3">
              <w:rPr>
                <w:b/>
                <w:sz w:val="24"/>
                <w:szCs w:val="24"/>
              </w:rPr>
              <w:t>SIZE(</w:t>
            </w:r>
            <w:proofErr w:type="gramEnd"/>
            <w:r>
              <w:rPr>
                <w:b/>
                <w:sz w:val="24"/>
                <w:szCs w:val="24"/>
              </w:rPr>
              <w:t>3</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0.100</w:t>
            </w:r>
          </w:p>
        </w:tc>
        <w:tc>
          <w:tcPr>
            <w:tcW w:w="1104" w:type="dxa"/>
          </w:tcPr>
          <w:p w:rsidR="00931690" w:rsidRPr="007610E3" w:rsidRDefault="00931690" w:rsidP="00153B5C">
            <w:pPr>
              <w:tabs>
                <w:tab w:val="center" w:pos="7001"/>
              </w:tabs>
              <w:rPr>
                <w:sz w:val="24"/>
                <w:szCs w:val="24"/>
              </w:rPr>
            </w:pPr>
            <w:r w:rsidRPr="007610E3">
              <w:rPr>
                <w:sz w:val="24"/>
                <w:szCs w:val="24"/>
              </w:rPr>
              <w:t>0.272</w:t>
            </w:r>
          </w:p>
        </w:tc>
        <w:tc>
          <w:tcPr>
            <w:tcW w:w="1106" w:type="dxa"/>
          </w:tcPr>
          <w:p w:rsidR="00931690" w:rsidRPr="007610E3" w:rsidRDefault="00931690" w:rsidP="00153B5C">
            <w:pPr>
              <w:tabs>
                <w:tab w:val="center" w:pos="7001"/>
              </w:tabs>
              <w:rPr>
                <w:sz w:val="24"/>
                <w:szCs w:val="24"/>
              </w:rPr>
            </w:pPr>
            <w:r w:rsidRPr="007610E3">
              <w:rPr>
                <w:b/>
                <w:sz w:val="24"/>
                <w:szCs w:val="24"/>
              </w:rPr>
              <w:t>1.000</w:t>
            </w:r>
          </w:p>
        </w:tc>
        <w:tc>
          <w:tcPr>
            <w:tcW w:w="1104" w:type="dxa"/>
          </w:tcPr>
          <w:p w:rsidR="00931690" w:rsidRPr="007610E3" w:rsidRDefault="00931690" w:rsidP="00153B5C">
            <w:pPr>
              <w:tabs>
                <w:tab w:val="center" w:pos="7001"/>
              </w:tabs>
              <w:rPr>
                <w:sz w:val="24"/>
                <w:szCs w:val="24"/>
              </w:rPr>
            </w:pPr>
          </w:p>
        </w:tc>
        <w:tc>
          <w:tcPr>
            <w:tcW w:w="1106"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c>
          <w:tcPr>
            <w:tcW w:w="1106" w:type="dxa"/>
          </w:tcPr>
          <w:p w:rsidR="00931690" w:rsidRPr="007610E3" w:rsidRDefault="00931690" w:rsidP="00153B5C">
            <w:pPr>
              <w:tabs>
                <w:tab w:val="center" w:pos="7001"/>
              </w:tabs>
              <w:rPr>
                <w:sz w:val="24"/>
                <w:szCs w:val="24"/>
              </w:rPr>
            </w:pPr>
          </w:p>
        </w:tc>
        <w:tc>
          <w:tcPr>
            <w:tcW w:w="1289"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b/>
                <w:sz w:val="24"/>
                <w:szCs w:val="24"/>
              </w:rPr>
            </w:pPr>
          </w:p>
        </w:tc>
      </w:tr>
      <w:tr w:rsidR="00153B5C" w:rsidRPr="007610E3" w:rsidTr="00153B5C">
        <w:trPr>
          <w:trHeight w:val="157"/>
        </w:trPr>
        <w:tc>
          <w:tcPr>
            <w:tcW w:w="2578" w:type="dxa"/>
          </w:tcPr>
          <w:p w:rsidR="00931690" w:rsidRPr="007610E3" w:rsidRDefault="00931690" w:rsidP="00153B5C">
            <w:pPr>
              <w:rPr>
                <w:b/>
                <w:sz w:val="24"/>
                <w:szCs w:val="24"/>
              </w:rPr>
            </w:pPr>
            <w:proofErr w:type="gramStart"/>
            <w:r w:rsidRPr="007610E3">
              <w:rPr>
                <w:b/>
                <w:sz w:val="24"/>
                <w:szCs w:val="24"/>
              </w:rPr>
              <w:t>ROA(</w:t>
            </w:r>
            <w:proofErr w:type="gramEnd"/>
            <w:r>
              <w:rPr>
                <w:b/>
                <w:sz w:val="24"/>
                <w:szCs w:val="24"/>
              </w:rPr>
              <w:t>4</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-0.033</w:t>
            </w:r>
          </w:p>
        </w:tc>
        <w:tc>
          <w:tcPr>
            <w:tcW w:w="1104" w:type="dxa"/>
          </w:tcPr>
          <w:p w:rsidR="00931690" w:rsidRPr="007610E3" w:rsidRDefault="00931690" w:rsidP="00153B5C">
            <w:pPr>
              <w:tabs>
                <w:tab w:val="center" w:pos="7001"/>
              </w:tabs>
              <w:rPr>
                <w:sz w:val="24"/>
                <w:szCs w:val="24"/>
              </w:rPr>
            </w:pPr>
            <w:r w:rsidRPr="007610E3">
              <w:rPr>
                <w:sz w:val="24"/>
                <w:szCs w:val="24"/>
              </w:rPr>
              <w:t>0.053</w:t>
            </w:r>
          </w:p>
        </w:tc>
        <w:tc>
          <w:tcPr>
            <w:tcW w:w="1106" w:type="dxa"/>
          </w:tcPr>
          <w:p w:rsidR="00931690" w:rsidRPr="007610E3" w:rsidRDefault="00931690" w:rsidP="00153B5C">
            <w:pPr>
              <w:tabs>
                <w:tab w:val="center" w:pos="7001"/>
              </w:tabs>
              <w:rPr>
                <w:sz w:val="24"/>
                <w:szCs w:val="24"/>
              </w:rPr>
            </w:pPr>
            <w:r w:rsidRPr="007610E3">
              <w:rPr>
                <w:sz w:val="24"/>
                <w:szCs w:val="24"/>
              </w:rPr>
              <w:t>-0.008</w:t>
            </w:r>
          </w:p>
        </w:tc>
        <w:tc>
          <w:tcPr>
            <w:tcW w:w="1104" w:type="dxa"/>
          </w:tcPr>
          <w:p w:rsidR="00931690" w:rsidRPr="007610E3" w:rsidRDefault="00931690" w:rsidP="00153B5C">
            <w:pPr>
              <w:tabs>
                <w:tab w:val="center" w:pos="7001"/>
              </w:tabs>
              <w:rPr>
                <w:sz w:val="24"/>
                <w:szCs w:val="24"/>
              </w:rPr>
            </w:pPr>
            <w:r w:rsidRPr="007610E3">
              <w:rPr>
                <w:b/>
                <w:sz w:val="24"/>
                <w:szCs w:val="24"/>
              </w:rPr>
              <w:t>1.000</w:t>
            </w:r>
          </w:p>
        </w:tc>
        <w:tc>
          <w:tcPr>
            <w:tcW w:w="1106"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c>
          <w:tcPr>
            <w:tcW w:w="1106" w:type="dxa"/>
          </w:tcPr>
          <w:p w:rsidR="00931690" w:rsidRPr="007610E3" w:rsidRDefault="00931690" w:rsidP="00153B5C">
            <w:pPr>
              <w:tabs>
                <w:tab w:val="center" w:pos="7001"/>
              </w:tabs>
              <w:rPr>
                <w:sz w:val="24"/>
                <w:szCs w:val="24"/>
              </w:rPr>
            </w:pPr>
          </w:p>
        </w:tc>
        <w:tc>
          <w:tcPr>
            <w:tcW w:w="1289"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r>
      <w:tr w:rsidR="00153B5C" w:rsidRPr="007610E3" w:rsidTr="00153B5C">
        <w:trPr>
          <w:trHeight w:val="157"/>
        </w:trPr>
        <w:tc>
          <w:tcPr>
            <w:tcW w:w="2578" w:type="dxa"/>
          </w:tcPr>
          <w:p w:rsidR="00931690" w:rsidRPr="007610E3" w:rsidRDefault="00931690" w:rsidP="00153B5C">
            <w:pPr>
              <w:rPr>
                <w:b/>
                <w:sz w:val="24"/>
                <w:szCs w:val="24"/>
              </w:rPr>
            </w:pPr>
            <w:proofErr w:type="gramStart"/>
            <w:r w:rsidRPr="007610E3">
              <w:rPr>
                <w:b/>
                <w:sz w:val="24"/>
                <w:szCs w:val="24"/>
              </w:rPr>
              <w:t>PPE(</w:t>
            </w:r>
            <w:proofErr w:type="gramEnd"/>
            <w:r>
              <w:rPr>
                <w:b/>
                <w:sz w:val="24"/>
                <w:szCs w:val="24"/>
              </w:rPr>
              <w:t>5</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0.244</w:t>
            </w:r>
          </w:p>
        </w:tc>
        <w:tc>
          <w:tcPr>
            <w:tcW w:w="1104" w:type="dxa"/>
          </w:tcPr>
          <w:p w:rsidR="00931690" w:rsidRPr="007610E3" w:rsidRDefault="00931690" w:rsidP="00153B5C">
            <w:pPr>
              <w:tabs>
                <w:tab w:val="center" w:pos="7001"/>
              </w:tabs>
              <w:rPr>
                <w:sz w:val="24"/>
                <w:szCs w:val="24"/>
              </w:rPr>
            </w:pPr>
            <w:r w:rsidRPr="007610E3">
              <w:rPr>
                <w:sz w:val="24"/>
                <w:szCs w:val="24"/>
              </w:rPr>
              <w:t>0.080</w:t>
            </w:r>
          </w:p>
        </w:tc>
        <w:tc>
          <w:tcPr>
            <w:tcW w:w="1106" w:type="dxa"/>
          </w:tcPr>
          <w:p w:rsidR="00931690" w:rsidRPr="007610E3" w:rsidRDefault="00931690" w:rsidP="00153B5C">
            <w:pPr>
              <w:tabs>
                <w:tab w:val="center" w:pos="7001"/>
              </w:tabs>
              <w:rPr>
                <w:sz w:val="24"/>
                <w:szCs w:val="24"/>
              </w:rPr>
            </w:pPr>
            <w:r w:rsidRPr="007610E3">
              <w:rPr>
                <w:sz w:val="24"/>
                <w:szCs w:val="24"/>
              </w:rPr>
              <w:t>-0.023</w:t>
            </w:r>
          </w:p>
        </w:tc>
        <w:tc>
          <w:tcPr>
            <w:tcW w:w="1104" w:type="dxa"/>
          </w:tcPr>
          <w:p w:rsidR="00931690" w:rsidRPr="007610E3" w:rsidRDefault="00931690" w:rsidP="00153B5C">
            <w:pPr>
              <w:tabs>
                <w:tab w:val="center" w:pos="7001"/>
              </w:tabs>
              <w:rPr>
                <w:sz w:val="24"/>
                <w:szCs w:val="24"/>
              </w:rPr>
            </w:pPr>
            <w:r w:rsidRPr="007610E3">
              <w:rPr>
                <w:sz w:val="24"/>
                <w:szCs w:val="24"/>
              </w:rPr>
              <w:t>-0.009</w:t>
            </w:r>
          </w:p>
        </w:tc>
        <w:tc>
          <w:tcPr>
            <w:tcW w:w="1106" w:type="dxa"/>
          </w:tcPr>
          <w:p w:rsidR="00931690" w:rsidRPr="007610E3" w:rsidRDefault="00931690" w:rsidP="00153B5C">
            <w:pPr>
              <w:tabs>
                <w:tab w:val="center" w:pos="7001"/>
              </w:tabs>
              <w:rPr>
                <w:sz w:val="24"/>
                <w:szCs w:val="24"/>
              </w:rPr>
            </w:pPr>
            <w:r w:rsidRPr="007610E3">
              <w:rPr>
                <w:b/>
                <w:sz w:val="24"/>
                <w:szCs w:val="24"/>
              </w:rPr>
              <w:t>1.000</w:t>
            </w:r>
          </w:p>
        </w:tc>
        <w:tc>
          <w:tcPr>
            <w:tcW w:w="1104" w:type="dxa"/>
          </w:tcPr>
          <w:p w:rsidR="00931690" w:rsidRPr="007610E3" w:rsidRDefault="00931690" w:rsidP="00153B5C">
            <w:pPr>
              <w:tabs>
                <w:tab w:val="center" w:pos="7001"/>
              </w:tabs>
              <w:rPr>
                <w:sz w:val="24"/>
                <w:szCs w:val="24"/>
              </w:rPr>
            </w:pPr>
          </w:p>
        </w:tc>
        <w:tc>
          <w:tcPr>
            <w:tcW w:w="1106" w:type="dxa"/>
          </w:tcPr>
          <w:p w:rsidR="00931690" w:rsidRPr="007610E3" w:rsidRDefault="00931690" w:rsidP="00153B5C">
            <w:pPr>
              <w:tabs>
                <w:tab w:val="center" w:pos="7001"/>
              </w:tabs>
              <w:rPr>
                <w:sz w:val="24"/>
                <w:szCs w:val="24"/>
              </w:rPr>
            </w:pPr>
          </w:p>
        </w:tc>
        <w:tc>
          <w:tcPr>
            <w:tcW w:w="1289"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r>
      <w:tr w:rsidR="00153B5C" w:rsidRPr="007610E3" w:rsidTr="00153B5C">
        <w:trPr>
          <w:trHeight w:val="147"/>
        </w:trPr>
        <w:tc>
          <w:tcPr>
            <w:tcW w:w="2578" w:type="dxa"/>
          </w:tcPr>
          <w:p w:rsidR="00931690" w:rsidRPr="007610E3" w:rsidRDefault="00931690" w:rsidP="00153B5C">
            <w:pPr>
              <w:rPr>
                <w:b/>
                <w:sz w:val="24"/>
                <w:szCs w:val="24"/>
              </w:rPr>
            </w:pPr>
            <w:proofErr w:type="gramStart"/>
            <w:r>
              <w:rPr>
                <w:b/>
                <w:sz w:val="24"/>
                <w:szCs w:val="24"/>
              </w:rPr>
              <w:t>CF(</w:t>
            </w:r>
            <w:proofErr w:type="gramEnd"/>
            <w:r>
              <w:rPr>
                <w:b/>
                <w:sz w:val="24"/>
                <w:szCs w:val="24"/>
              </w:rPr>
              <w:t>6</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0.079</w:t>
            </w:r>
          </w:p>
        </w:tc>
        <w:tc>
          <w:tcPr>
            <w:tcW w:w="1104" w:type="dxa"/>
          </w:tcPr>
          <w:p w:rsidR="00931690" w:rsidRPr="007610E3" w:rsidRDefault="00931690" w:rsidP="00153B5C">
            <w:pPr>
              <w:tabs>
                <w:tab w:val="center" w:pos="7001"/>
              </w:tabs>
              <w:rPr>
                <w:sz w:val="24"/>
                <w:szCs w:val="24"/>
              </w:rPr>
            </w:pPr>
            <w:r w:rsidRPr="007610E3">
              <w:rPr>
                <w:sz w:val="24"/>
                <w:szCs w:val="24"/>
              </w:rPr>
              <w:t>0.164</w:t>
            </w:r>
          </w:p>
        </w:tc>
        <w:tc>
          <w:tcPr>
            <w:tcW w:w="1106" w:type="dxa"/>
          </w:tcPr>
          <w:p w:rsidR="00931690" w:rsidRPr="007610E3" w:rsidRDefault="00931690" w:rsidP="00153B5C">
            <w:pPr>
              <w:tabs>
                <w:tab w:val="center" w:pos="7001"/>
              </w:tabs>
              <w:rPr>
                <w:sz w:val="24"/>
                <w:szCs w:val="24"/>
              </w:rPr>
            </w:pPr>
            <w:r w:rsidRPr="007610E3">
              <w:rPr>
                <w:sz w:val="24"/>
                <w:szCs w:val="24"/>
              </w:rPr>
              <w:t>-0.131</w:t>
            </w:r>
          </w:p>
        </w:tc>
        <w:tc>
          <w:tcPr>
            <w:tcW w:w="1104" w:type="dxa"/>
          </w:tcPr>
          <w:p w:rsidR="00931690" w:rsidRPr="007610E3" w:rsidRDefault="00931690" w:rsidP="00153B5C">
            <w:pPr>
              <w:tabs>
                <w:tab w:val="center" w:pos="7001"/>
              </w:tabs>
              <w:rPr>
                <w:sz w:val="24"/>
                <w:szCs w:val="24"/>
              </w:rPr>
            </w:pPr>
            <w:r w:rsidRPr="007610E3">
              <w:rPr>
                <w:sz w:val="24"/>
                <w:szCs w:val="24"/>
              </w:rPr>
              <w:t>-0.064</w:t>
            </w:r>
          </w:p>
        </w:tc>
        <w:tc>
          <w:tcPr>
            <w:tcW w:w="1106" w:type="dxa"/>
          </w:tcPr>
          <w:p w:rsidR="00931690" w:rsidRPr="007610E3" w:rsidRDefault="00931690" w:rsidP="00153B5C">
            <w:pPr>
              <w:tabs>
                <w:tab w:val="center" w:pos="7001"/>
              </w:tabs>
              <w:rPr>
                <w:sz w:val="24"/>
                <w:szCs w:val="24"/>
              </w:rPr>
            </w:pPr>
            <w:r w:rsidRPr="007610E3">
              <w:rPr>
                <w:sz w:val="24"/>
                <w:szCs w:val="24"/>
              </w:rPr>
              <w:t>0.033</w:t>
            </w:r>
          </w:p>
        </w:tc>
        <w:tc>
          <w:tcPr>
            <w:tcW w:w="1104" w:type="dxa"/>
          </w:tcPr>
          <w:p w:rsidR="00931690" w:rsidRPr="007610E3" w:rsidRDefault="00931690" w:rsidP="00153B5C">
            <w:pPr>
              <w:tabs>
                <w:tab w:val="center" w:pos="7001"/>
              </w:tabs>
              <w:rPr>
                <w:sz w:val="24"/>
                <w:szCs w:val="24"/>
              </w:rPr>
            </w:pPr>
            <w:r w:rsidRPr="007610E3">
              <w:rPr>
                <w:b/>
                <w:sz w:val="24"/>
                <w:szCs w:val="24"/>
              </w:rPr>
              <w:t>1.000</w:t>
            </w:r>
          </w:p>
        </w:tc>
        <w:tc>
          <w:tcPr>
            <w:tcW w:w="1106" w:type="dxa"/>
          </w:tcPr>
          <w:p w:rsidR="00931690" w:rsidRPr="007610E3" w:rsidRDefault="00931690" w:rsidP="00153B5C">
            <w:pPr>
              <w:tabs>
                <w:tab w:val="center" w:pos="7001"/>
              </w:tabs>
              <w:rPr>
                <w:sz w:val="24"/>
                <w:szCs w:val="24"/>
              </w:rPr>
            </w:pPr>
          </w:p>
        </w:tc>
        <w:tc>
          <w:tcPr>
            <w:tcW w:w="1289"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r>
      <w:tr w:rsidR="00153B5C" w:rsidRPr="007610E3" w:rsidTr="00153B5C">
        <w:trPr>
          <w:trHeight w:val="157"/>
        </w:trPr>
        <w:tc>
          <w:tcPr>
            <w:tcW w:w="2578" w:type="dxa"/>
          </w:tcPr>
          <w:p w:rsidR="00931690" w:rsidRPr="007610E3" w:rsidRDefault="00931690" w:rsidP="00153B5C">
            <w:pPr>
              <w:rPr>
                <w:b/>
                <w:sz w:val="24"/>
                <w:szCs w:val="24"/>
              </w:rPr>
            </w:pPr>
            <w:proofErr w:type="gramStart"/>
            <w:r w:rsidRPr="007610E3">
              <w:rPr>
                <w:b/>
                <w:sz w:val="24"/>
                <w:szCs w:val="24"/>
              </w:rPr>
              <w:t>MTB(</w:t>
            </w:r>
            <w:proofErr w:type="gramEnd"/>
            <w:r>
              <w:rPr>
                <w:b/>
                <w:sz w:val="24"/>
                <w:szCs w:val="24"/>
              </w:rPr>
              <w:t>7</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-0.075</w:t>
            </w:r>
          </w:p>
        </w:tc>
        <w:tc>
          <w:tcPr>
            <w:tcW w:w="1104" w:type="dxa"/>
          </w:tcPr>
          <w:p w:rsidR="00931690" w:rsidRPr="007610E3" w:rsidRDefault="00931690" w:rsidP="00153B5C">
            <w:pPr>
              <w:tabs>
                <w:tab w:val="center" w:pos="7001"/>
              </w:tabs>
              <w:rPr>
                <w:sz w:val="24"/>
                <w:szCs w:val="24"/>
              </w:rPr>
            </w:pPr>
            <w:r w:rsidRPr="007610E3">
              <w:rPr>
                <w:sz w:val="24"/>
                <w:szCs w:val="24"/>
              </w:rPr>
              <w:t>-0.028</w:t>
            </w:r>
          </w:p>
        </w:tc>
        <w:tc>
          <w:tcPr>
            <w:tcW w:w="1106" w:type="dxa"/>
          </w:tcPr>
          <w:p w:rsidR="00931690" w:rsidRPr="007610E3" w:rsidRDefault="00931690" w:rsidP="00153B5C">
            <w:pPr>
              <w:tabs>
                <w:tab w:val="center" w:pos="7001"/>
              </w:tabs>
              <w:rPr>
                <w:sz w:val="24"/>
                <w:szCs w:val="24"/>
              </w:rPr>
            </w:pPr>
            <w:r w:rsidRPr="007610E3">
              <w:rPr>
                <w:sz w:val="24"/>
                <w:szCs w:val="24"/>
              </w:rPr>
              <w:t>0.119</w:t>
            </w:r>
          </w:p>
        </w:tc>
        <w:tc>
          <w:tcPr>
            <w:tcW w:w="1104" w:type="dxa"/>
          </w:tcPr>
          <w:p w:rsidR="00931690" w:rsidRPr="007610E3" w:rsidRDefault="00931690" w:rsidP="00153B5C">
            <w:pPr>
              <w:tabs>
                <w:tab w:val="center" w:pos="7001"/>
              </w:tabs>
              <w:rPr>
                <w:sz w:val="24"/>
                <w:szCs w:val="24"/>
              </w:rPr>
            </w:pPr>
            <w:r w:rsidRPr="007610E3">
              <w:rPr>
                <w:sz w:val="24"/>
                <w:szCs w:val="24"/>
              </w:rPr>
              <w:t>-0.039</w:t>
            </w:r>
          </w:p>
        </w:tc>
        <w:tc>
          <w:tcPr>
            <w:tcW w:w="1106" w:type="dxa"/>
          </w:tcPr>
          <w:p w:rsidR="00931690" w:rsidRPr="007610E3" w:rsidRDefault="00931690" w:rsidP="00153B5C">
            <w:pPr>
              <w:tabs>
                <w:tab w:val="center" w:pos="7001"/>
              </w:tabs>
              <w:rPr>
                <w:sz w:val="24"/>
                <w:szCs w:val="24"/>
              </w:rPr>
            </w:pPr>
            <w:r w:rsidRPr="007610E3">
              <w:rPr>
                <w:sz w:val="24"/>
                <w:szCs w:val="24"/>
              </w:rPr>
              <w:t>-0.147</w:t>
            </w:r>
          </w:p>
        </w:tc>
        <w:tc>
          <w:tcPr>
            <w:tcW w:w="1104" w:type="dxa"/>
          </w:tcPr>
          <w:p w:rsidR="00931690" w:rsidRPr="007610E3" w:rsidRDefault="00931690" w:rsidP="00153B5C">
            <w:pPr>
              <w:tabs>
                <w:tab w:val="center" w:pos="7001"/>
              </w:tabs>
              <w:rPr>
                <w:sz w:val="24"/>
                <w:szCs w:val="24"/>
              </w:rPr>
            </w:pPr>
            <w:r w:rsidRPr="007610E3">
              <w:rPr>
                <w:sz w:val="24"/>
                <w:szCs w:val="24"/>
              </w:rPr>
              <w:t>-0.138</w:t>
            </w:r>
          </w:p>
        </w:tc>
        <w:tc>
          <w:tcPr>
            <w:tcW w:w="1106" w:type="dxa"/>
          </w:tcPr>
          <w:p w:rsidR="00931690" w:rsidRPr="007610E3" w:rsidRDefault="00931690" w:rsidP="00153B5C">
            <w:pPr>
              <w:tabs>
                <w:tab w:val="center" w:pos="7001"/>
              </w:tabs>
              <w:rPr>
                <w:sz w:val="24"/>
                <w:szCs w:val="24"/>
              </w:rPr>
            </w:pPr>
            <w:r w:rsidRPr="007610E3">
              <w:rPr>
                <w:b/>
                <w:sz w:val="24"/>
                <w:szCs w:val="24"/>
              </w:rPr>
              <w:t>1.000</w:t>
            </w:r>
          </w:p>
        </w:tc>
        <w:tc>
          <w:tcPr>
            <w:tcW w:w="1289" w:type="dxa"/>
          </w:tcPr>
          <w:p w:rsidR="00931690" w:rsidRPr="007610E3" w:rsidRDefault="00931690" w:rsidP="00153B5C">
            <w:pPr>
              <w:tabs>
                <w:tab w:val="center" w:pos="7001"/>
              </w:tabs>
              <w:rPr>
                <w:sz w:val="24"/>
                <w:szCs w:val="24"/>
              </w:rPr>
            </w:pPr>
          </w:p>
        </w:tc>
        <w:tc>
          <w:tcPr>
            <w:tcW w:w="1104" w:type="dxa"/>
          </w:tcPr>
          <w:p w:rsidR="00931690" w:rsidRPr="007610E3" w:rsidRDefault="00931690" w:rsidP="00153B5C">
            <w:pPr>
              <w:tabs>
                <w:tab w:val="center" w:pos="7001"/>
              </w:tabs>
              <w:rPr>
                <w:sz w:val="24"/>
                <w:szCs w:val="24"/>
              </w:rPr>
            </w:pPr>
          </w:p>
        </w:tc>
      </w:tr>
      <w:tr w:rsidR="00153B5C" w:rsidRPr="007610E3" w:rsidTr="00153B5C">
        <w:trPr>
          <w:trHeight w:val="157"/>
        </w:trPr>
        <w:tc>
          <w:tcPr>
            <w:tcW w:w="2578" w:type="dxa"/>
          </w:tcPr>
          <w:p w:rsidR="00931690" w:rsidRPr="007610E3" w:rsidRDefault="00931690" w:rsidP="00153B5C">
            <w:pPr>
              <w:rPr>
                <w:b/>
                <w:sz w:val="24"/>
                <w:szCs w:val="24"/>
              </w:rPr>
            </w:pPr>
            <w:r w:rsidRPr="007610E3">
              <w:rPr>
                <w:b/>
                <w:sz w:val="24"/>
                <w:szCs w:val="24"/>
              </w:rPr>
              <w:t>LEG_</w:t>
            </w:r>
            <w:proofErr w:type="gramStart"/>
            <w:r w:rsidRPr="007610E3">
              <w:rPr>
                <w:b/>
                <w:sz w:val="24"/>
                <w:szCs w:val="24"/>
              </w:rPr>
              <w:t>SYS(</w:t>
            </w:r>
            <w:proofErr w:type="gramEnd"/>
            <w:r>
              <w:rPr>
                <w:b/>
                <w:sz w:val="24"/>
                <w:szCs w:val="24"/>
              </w:rPr>
              <w:t>8</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-0.084</w:t>
            </w:r>
          </w:p>
        </w:tc>
        <w:tc>
          <w:tcPr>
            <w:tcW w:w="1104" w:type="dxa"/>
          </w:tcPr>
          <w:p w:rsidR="00931690" w:rsidRPr="007610E3" w:rsidRDefault="00931690" w:rsidP="00153B5C">
            <w:pPr>
              <w:tabs>
                <w:tab w:val="center" w:pos="7001"/>
              </w:tabs>
              <w:rPr>
                <w:sz w:val="24"/>
                <w:szCs w:val="24"/>
              </w:rPr>
            </w:pPr>
            <w:r w:rsidRPr="007610E3">
              <w:rPr>
                <w:sz w:val="24"/>
                <w:szCs w:val="24"/>
              </w:rPr>
              <w:t>0.081</w:t>
            </w:r>
          </w:p>
        </w:tc>
        <w:tc>
          <w:tcPr>
            <w:tcW w:w="1106" w:type="dxa"/>
          </w:tcPr>
          <w:p w:rsidR="00931690" w:rsidRPr="007610E3" w:rsidRDefault="00931690" w:rsidP="00153B5C">
            <w:pPr>
              <w:tabs>
                <w:tab w:val="center" w:pos="7001"/>
              </w:tabs>
              <w:rPr>
                <w:sz w:val="24"/>
                <w:szCs w:val="24"/>
              </w:rPr>
            </w:pPr>
            <w:r w:rsidRPr="007610E3">
              <w:rPr>
                <w:sz w:val="24"/>
                <w:szCs w:val="24"/>
              </w:rPr>
              <w:t>-0.590</w:t>
            </w:r>
          </w:p>
        </w:tc>
        <w:tc>
          <w:tcPr>
            <w:tcW w:w="1104" w:type="dxa"/>
          </w:tcPr>
          <w:p w:rsidR="00931690" w:rsidRPr="007610E3" w:rsidRDefault="00931690" w:rsidP="00153B5C">
            <w:pPr>
              <w:tabs>
                <w:tab w:val="center" w:pos="7001"/>
              </w:tabs>
              <w:rPr>
                <w:sz w:val="24"/>
                <w:szCs w:val="24"/>
              </w:rPr>
            </w:pPr>
            <w:r w:rsidRPr="007610E3">
              <w:rPr>
                <w:sz w:val="24"/>
                <w:szCs w:val="24"/>
              </w:rPr>
              <w:t>-0.030</w:t>
            </w:r>
          </w:p>
        </w:tc>
        <w:tc>
          <w:tcPr>
            <w:tcW w:w="1106" w:type="dxa"/>
          </w:tcPr>
          <w:p w:rsidR="00931690" w:rsidRPr="007610E3" w:rsidRDefault="00931690" w:rsidP="00153B5C">
            <w:pPr>
              <w:tabs>
                <w:tab w:val="center" w:pos="7001"/>
              </w:tabs>
              <w:rPr>
                <w:sz w:val="24"/>
                <w:szCs w:val="24"/>
              </w:rPr>
            </w:pPr>
            <w:r w:rsidRPr="007610E3">
              <w:rPr>
                <w:sz w:val="24"/>
                <w:szCs w:val="24"/>
              </w:rPr>
              <w:t>0.640</w:t>
            </w:r>
          </w:p>
        </w:tc>
        <w:tc>
          <w:tcPr>
            <w:tcW w:w="1104" w:type="dxa"/>
          </w:tcPr>
          <w:p w:rsidR="00931690" w:rsidRPr="007610E3" w:rsidRDefault="00931690" w:rsidP="00153B5C">
            <w:pPr>
              <w:tabs>
                <w:tab w:val="center" w:pos="7001"/>
              </w:tabs>
              <w:rPr>
                <w:sz w:val="24"/>
                <w:szCs w:val="24"/>
              </w:rPr>
            </w:pPr>
            <w:r w:rsidRPr="007610E3">
              <w:rPr>
                <w:sz w:val="24"/>
                <w:szCs w:val="24"/>
              </w:rPr>
              <w:t>0.762</w:t>
            </w:r>
          </w:p>
        </w:tc>
        <w:tc>
          <w:tcPr>
            <w:tcW w:w="1106" w:type="dxa"/>
          </w:tcPr>
          <w:p w:rsidR="00931690" w:rsidRPr="007610E3" w:rsidRDefault="00931690" w:rsidP="00153B5C">
            <w:pPr>
              <w:tabs>
                <w:tab w:val="center" w:pos="7001"/>
              </w:tabs>
              <w:rPr>
                <w:sz w:val="24"/>
                <w:szCs w:val="24"/>
              </w:rPr>
            </w:pPr>
            <w:r w:rsidRPr="007610E3">
              <w:rPr>
                <w:sz w:val="24"/>
                <w:szCs w:val="24"/>
              </w:rPr>
              <w:t>-0.423</w:t>
            </w:r>
          </w:p>
        </w:tc>
        <w:tc>
          <w:tcPr>
            <w:tcW w:w="1289" w:type="dxa"/>
          </w:tcPr>
          <w:p w:rsidR="00931690" w:rsidRPr="007610E3" w:rsidRDefault="00931690" w:rsidP="00153B5C">
            <w:pPr>
              <w:tabs>
                <w:tab w:val="center" w:pos="7001"/>
              </w:tabs>
              <w:rPr>
                <w:sz w:val="24"/>
                <w:szCs w:val="24"/>
              </w:rPr>
            </w:pPr>
            <w:r w:rsidRPr="007610E3">
              <w:rPr>
                <w:b/>
                <w:sz w:val="24"/>
                <w:szCs w:val="24"/>
              </w:rPr>
              <w:t>1.000</w:t>
            </w:r>
          </w:p>
        </w:tc>
        <w:tc>
          <w:tcPr>
            <w:tcW w:w="1104" w:type="dxa"/>
          </w:tcPr>
          <w:p w:rsidR="00931690" w:rsidRPr="007610E3" w:rsidRDefault="00931690" w:rsidP="00153B5C">
            <w:pPr>
              <w:tabs>
                <w:tab w:val="center" w:pos="7001"/>
              </w:tabs>
              <w:rPr>
                <w:sz w:val="24"/>
                <w:szCs w:val="24"/>
              </w:rPr>
            </w:pPr>
          </w:p>
        </w:tc>
      </w:tr>
      <w:tr w:rsidR="00153B5C" w:rsidRPr="007610E3" w:rsidTr="00153B5C">
        <w:trPr>
          <w:trHeight w:val="147"/>
        </w:trPr>
        <w:tc>
          <w:tcPr>
            <w:tcW w:w="2578" w:type="dxa"/>
          </w:tcPr>
          <w:p w:rsidR="00931690" w:rsidRPr="007610E3" w:rsidRDefault="00931690" w:rsidP="00153B5C">
            <w:pPr>
              <w:rPr>
                <w:b/>
                <w:sz w:val="24"/>
                <w:szCs w:val="24"/>
              </w:rPr>
            </w:pPr>
            <w:r w:rsidRPr="007610E3">
              <w:rPr>
                <w:b/>
                <w:sz w:val="24"/>
                <w:szCs w:val="24"/>
              </w:rPr>
              <w:t>COVID_19(</w:t>
            </w:r>
            <w:r>
              <w:rPr>
                <w:b/>
                <w:sz w:val="24"/>
                <w:szCs w:val="24"/>
              </w:rPr>
              <w:t>9</w:t>
            </w:r>
            <w:r w:rsidRPr="007610E3">
              <w:rPr>
                <w:b/>
                <w:sz w:val="24"/>
                <w:szCs w:val="24"/>
              </w:rPr>
              <w:t>)</w:t>
            </w:r>
          </w:p>
        </w:tc>
        <w:tc>
          <w:tcPr>
            <w:tcW w:w="1106" w:type="dxa"/>
          </w:tcPr>
          <w:p w:rsidR="00931690" w:rsidRPr="007610E3" w:rsidRDefault="00931690" w:rsidP="00153B5C">
            <w:pPr>
              <w:tabs>
                <w:tab w:val="center" w:pos="7001"/>
              </w:tabs>
              <w:rPr>
                <w:sz w:val="24"/>
                <w:szCs w:val="24"/>
              </w:rPr>
            </w:pPr>
            <w:r w:rsidRPr="007610E3">
              <w:rPr>
                <w:sz w:val="24"/>
                <w:szCs w:val="24"/>
              </w:rPr>
              <w:t>-0.163</w:t>
            </w:r>
          </w:p>
        </w:tc>
        <w:tc>
          <w:tcPr>
            <w:tcW w:w="1104" w:type="dxa"/>
          </w:tcPr>
          <w:p w:rsidR="00931690" w:rsidRPr="007610E3" w:rsidRDefault="00931690" w:rsidP="00153B5C">
            <w:pPr>
              <w:tabs>
                <w:tab w:val="center" w:pos="7001"/>
              </w:tabs>
              <w:rPr>
                <w:sz w:val="24"/>
                <w:szCs w:val="24"/>
              </w:rPr>
            </w:pPr>
            <w:r w:rsidRPr="007610E3">
              <w:rPr>
                <w:sz w:val="24"/>
                <w:szCs w:val="24"/>
              </w:rPr>
              <w:t>-0.000</w:t>
            </w:r>
          </w:p>
        </w:tc>
        <w:tc>
          <w:tcPr>
            <w:tcW w:w="1106" w:type="dxa"/>
          </w:tcPr>
          <w:p w:rsidR="00931690" w:rsidRPr="007610E3" w:rsidRDefault="00931690" w:rsidP="00153B5C">
            <w:pPr>
              <w:tabs>
                <w:tab w:val="center" w:pos="7001"/>
              </w:tabs>
              <w:rPr>
                <w:sz w:val="24"/>
                <w:szCs w:val="24"/>
              </w:rPr>
            </w:pPr>
            <w:r w:rsidRPr="007610E3">
              <w:rPr>
                <w:sz w:val="24"/>
                <w:szCs w:val="24"/>
              </w:rPr>
              <w:t>-0.000</w:t>
            </w:r>
          </w:p>
        </w:tc>
        <w:tc>
          <w:tcPr>
            <w:tcW w:w="1104" w:type="dxa"/>
          </w:tcPr>
          <w:p w:rsidR="00931690" w:rsidRPr="007610E3" w:rsidRDefault="00931690" w:rsidP="00153B5C">
            <w:pPr>
              <w:tabs>
                <w:tab w:val="center" w:pos="7001"/>
              </w:tabs>
              <w:rPr>
                <w:sz w:val="24"/>
                <w:szCs w:val="24"/>
              </w:rPr>
            </w:pPr>
            <w:r w:rsidRPr="007610E3">
              <w:rPr>
                <w:sz w:val="24"/>
                <w:szCs w:val="24"/>
              </w:rPr>
              <w:t>-0.000</w:t>
            </w:r>
          </w:p>
        </w:tc>
        <w:tc>
          <w:tcPr>
            <w:tcW w:w="1106" w:type="dxa"/>
          </w:tcPr>
          <w:p w:rsidR="00931690" w:rsidRPr="007610E3" w:rsidRDefault="00931690" w:rsidP="00153B5C">
            <w:pPr>
              <w:tabs>
                <w:tab w:val="center" w:pos="7001"/>
              </w:tabs>
              <w:rPr>
                <w:sz w:val="24"/>
                <w:szCs w:val="24"/>
              </w:rPr>
            </w:pPr>
            <w:r w:rsidRPr="007610E3">
              <w:rPr>
                <w:sz w:val="24"/>
                <w:szCs w:val="24"/>
              </w:rPr>
              <w:t>0.000</w:t>
            </w:r>
          </w:p>
        </w:tc>
        <w:tc>
          <w:tcPr>
            <w:tcW w:w="1104" w:type="dxa"/>
          </w:tcPr>
          <w:p w:rsidR="00931690" w:rsidRPr="007610E3" w:rsidRDefault="00931690" w:rsidP="00153B5C">
            <w:pPr>
              <w:tabs>
                <w:tab w:val="center" w:pos="7001"/>
              </w:tabs>
              <w:rPr>
                <w:sz w:val="24"/>
                <w:szCs w:val="24"/>
              </w:rPr>
            </w:pPr>
            <w:r w:rsidRPr="007610E3">
              <w:rPr>
                <w:sz w:val="24"/>
                <w:szCs w:val="24"/>
              </w:rPr>
              <w:t>0.000</w:t>
            </w:r>
          </w:p>
        </w:tc>
        <w:tc>
          <w:tcPr>
            <w:tcW w:w="1106" w:type="dxa"/>
          </w:tcPr>
          <w:p w:rsidR="00931690" w:rsidRPr="007610E3" w:rsidRDefault="00931690" w:rsidP="00153B5C">
            <w:pPr>
              <w:tabs>
                <w:tab w:val="center" w:pos="7001"/>
              </w:tabs>
              <w:rPr>
                <w:sz w:val="24"/>
                <w:szCs w:val="24"/>
              </w:rPr>
            </w:pPr>
            <w:r w:rsidRPr="007610E3">
              <w:rPr>
                <w:sz w:val="24"/>
                <w:szCs w:val="24"/>
              </w:rPr>
              <w:t>-0.000</w:t>
            </w:r>
          </w:p>
        </w:tc>
        <w:tc>
          <w:tcPr>
            <w:tcW w:w="1289" w:type="dxa"/>
          </w:tcPr>
          <w:p w:rsidR="00931690" w:rsidRPr="007610E3" w:rsidRDefault="00931690" w:rsidP="00153B5C">
            <w:pPr>
              <w:tabs>
                <w:tab w:val="center" w:pos="7001"/>
              </w:tabs>
              <w:rPr>
                <w:sz w:val="24"/>
                <w:szCs w:val="24"/>
              </w:rPr>
            </w:pPr>
            <w:r w:rsidRPr="007610E3">
              <w:rPr>
                <w:sz w:val="24"/>
                <w:szCs w:val="24"/>
              </w:rPr>
              <w:t>0.037</w:t>
            </w:r>
          </w:p>
        </w:tc>
        <w:tc>
          <w:tcPr>
            <w:tcW w:w="1104" w:type="dxa"/>
          </w:tcPr>
          <w:p w:rsidR="00931690" w:rsidRPr="007610E3" w:rsidRDefault="00931690" w:rsidP="00153B5C">
            <w:pPr>
              <w:tabs>
                <w:tab w:val="center" w:pos="7001"/>
              </w:tabs>
              <w:rPr>
                <w:sz w:val="24"/>
                <w:szCs w:val="24"/>
              </w:rPr>
            </w:pPr>
            <w:r w:rsidRPr="007610E3">
              <w:rPr>
                <w:b/>
                <w:sz w:val="24"/>
                <w:szCs w:val="24"/>
              </w:rPr>
              <w:t>1.000</w:t>
            </w:r>
          </w:p>
        </w:tc>
      </w:tr>
      <w:tr w:rsidR="00153B5C" w:rsidRPr="007610E3" w:rsidTr="00153B5C">
        <w:trPr>
          <w:trHeight w:val="147"/>
        </w:trPr>
        <w:tc>
          <w:tcPr>
            <w:tcW w:w="2578" w:type="dxa"/>
          </w:tcPr>
          <w:p w:rsidR="00931690" w:rsidRPr="007610E3" w:rsidRDefault="00931690" w:rsidP="00153B5C">
            <w:pPr>
              <w:rPr>
                <w:b/>
                <w:sz w:val="24"/>
                <w:szCs w:val="24"/>
              </w:rPr>
            </w:pPr>
            <w:r w:rsidRPr="007610E3">
              <w:rPr>
                <w:b/>
                <w:sz w:val="24"/>
                <w:szCs w:val="24"/>
              </w:rPr>
              <w:t>VIF</w:t>
            </w:r>
          </w:p>
        </w:tc>
        <w:tc>
          <w:tcPr>
            <w:tcW w:w="1106" w:type="dxa"/>
          </w:tcPr>
          <w:p w:rsidR="00931690" w:rsidRPr="007610E3" w:rsidRDefault="00931690" w:rsidP="00153B5C">
            <w:pPr>
              <w:rPr>
                <w:sz w:val="24"/>
                <w:szCs w:val="24"/>
              </w:rPr>
            </w:pPr>
            <w:r w:rsidRPr="007610E3">
              <w:rPr>
                <w:sz w:val="24"/>
                <w:szCs w:val="24"/>
              </w:rPr>
              <w:t>1.13</w:t>
            </w:r>
          </w:p>
        </w:tc>
        <w:tc>
          <w:tcPr>
            <w:tcW w:w="1104" w:type="dxa"/>
          </w:tcPr>
          <w:p w:rsidR="00931690" w:rsidRPr="007610E3" w:rsidRDefault="00931690" w:rsidP="00153B5C">
            <w:pPr>
              <w:rPr>
                <w:sz w:val="24"/>
                <w:szCs w:val="24"/>
              </w:rPr>
            </w:pPr>
            <w:r w:rsidRPr="007610E3">
              <w:rPr>
                <w:sz w:val="24"/>
                <w:szCs w:val="24"/>
              </w:rPr>
              <w:t>1.18</w:t>
            </w:r>
          </w:p>
        </w:tc>
        <w:tc>
          <w:tcPr>
            <w:tcW w:w="1106" w:type="dxa"/>
          </w:tcPr>
          <w:p w:rsidR="00931690" w:rsidRPr="007610E3" w:rsidRDefault="00931690" w:rsidP="00153B5C">
            <w:pPr>
              <w:rPr>
                <w:sz w:val="24"/>
                <w:szCs w:val="24"/>
              </w:rPr>
            </w:pPr>
            <w:r w:rsidRPr="007610E3">
              <w:rPr>
                <w:sz w:val="24"/>
                <w:szCs w:val="24"/>
              </w:rPr>
              <w:t>1.82</w:t>
            </w:r>
          </w:p>
        </w:tc>
        <w:tc>
          <w:tcPr>
            <w:tcW w:w="1104" w:type="dxa"/>
          </w:tcPr>
          <w:p w:rsidR="00931690" w:rsidRPr="007610E3" w:rsidRDefault="00931690" w:rsidP="00153B5C">
            <w:pPr>
              <w:rPr>
                <w:sz w:val="24"/>
                <w:szCs w:val="24"/>
              </w:rPr>
            </w:pPr>
            <w:r w:rsidRPr="007610E3">
              <w:rPr>
                <w:sz w:val="24"/>
                <w:szCs w:val="24"/>
              </w:rPr>
              <w:t>1.11</w:t>
            </w:r>
          </w:p>
        </w:tc>
        <w:tc>
          <w:tcPr>
            <w:tcW w:w="1106" w:type="dxa"/>
          </w:tcPr>
          <w:p w:rsidR="00931690" w:rsidRPr="007610E3" w:rsidRDefault="00931690" w:rsidP="00153B5C">
            <w:pPr>
              <w:rPr>
                <w:sz w:val="24"/>
                <w:szCs w:val="24"/>
              </w:rPr>
            </w:pPr>
            <w:r w:rsidRPr="007610E3">
              <w:rPr>
                <w:sz w:val="24"/>
                <w:szCs w:val="24"/>
              </w:rPr>
              <w:t>1.21</w:t>
            </w:r>
          </w:p>
        </w:tc>
        <w:tc>
          <w:tcPr>
            <w:tcW w:w="1104" w:type="dxa"/>
          </w:tcPr>
          <w:p w:rsidR="00931690" w:rsidRPr="007610E3" w:rsidRDefault="00931690" w:rsidP="00153B5C">
            <w:pPr>
              <w:rPr>
                <w:sz w:val="24"/>
                <w:szCs w:val="24"/>
              </w:rPr>
            </w:pPr>
            <w:r w:rsidRPr="00BC43C6">
              <w:rPr>
                <w:sz w:val="24"/>
                <w:szCs w:val="24"/>
              </w:rPr>
              <w:t>1.19</w:t>
            </w:r>
          </w:p>
        </w:tc>
        <w:tc>
          <w:tcPr>
            <w:tcW w:w="1106" w:type="dxa"/>
          </w:tcPr>
          <w:p w:rsidR="00931690" w:rsidRPr="007610E3" w:rsidRDefault="00931690" w:rsidP="00153B5C">
            <w:pPr>
              <w:rPr>
                <w:sz w:val="24"/>
                <w:szCs w:val="24"/>
              </w:rPr>
            </w:pPr>
            <w:r w:rsidRPr="00BC43C6">
              <w:rPr>
                <w:sz w:val="24"/>
                <w:szCs w:val="24"/>
              </w:rPr>
              <w:t>1.10</w:t>
            </w:r>
          </w:p>
        </w:tc>
        <w:tc>
          <w:tcPr>
            <w:tcW w:w="1289" w:type="dxa"/>
          </w:tcPr>
          <w:p w:rsidR="00931690" w:rsidRPr="007610E3" w:rsidRDefault="00931690" w:rsidP="00153B5C">
            <w:pPr>
              <w:rPr>
                <w:sz w:val="24"/>
                <w:szCs w:val="24"/>
              </w:rPr>
            </w:pPr>
            <w:r w:rsidRPr="00BC43C6">
              <w:rPr>
                <w:sz w:val="24"/>
                <w:szCs w:val="24"/>
              </w:rPr>
              <w:t>4.77</w:t>
            </w:r>
          </w:p>
        </w:tc>
        <w:tc>
          <w:tcPr>
            <w:tcW w:w="1104" w:type="dxa"/>
          </w:tcPr>
          <w:p w:rsidR="00931690" w:rsidRPr="007610E3" w:rsidRDefault="00931690" w:rsidP="00153B5C">
            <w:pPr>
              <w:rPr>
                <w:sz w:val="24"/>
                <w:szCs w:val="24"/>
              </w:rPr>
            </w:pPr>
            <w:r w:rsidRPr="00BC43C6">
              <w:rPr>
                <w:sz w:val="24"/>
                <w:szCs w:val="24"/>
              </w:rPr>
              <w:t>1.04</w:t>
            </w:r>
          </w:p>
        </w:tc>
      </w:tr>
    </w:tbl>
    <w:p w:rsidR="000072B8" w:rsidRDefault="00931690" w:rsidP="009721CD">
      <w:pPr>
        <w:spacing w:line="360" w:lineRule="auto"/>
        <w:ind w:left="425"/>
        <w:rPr>
          <w:rFonts w:asciiTheme="majorBidi" w:hAnsiTheme="majorBidi" w:cstheme="majorBidi"/>
          <w:sz w:val="18"/>
          <w:szCs w:val="20"/>
        </w:rPr>
      </w:pPr>
      <w:r w:rsidRPr="00B95EF7">
        <w:rPr>
          <w:rFonts w:asciiTheme="majorBidi" w:hAnsiTheme="majorBidi" w:cstheme="majorBidi"/>
          <w:b/>
          <w:sz w:val="18"/>
          <w:szCs w:val="20"/>
        </w:rPr>
        <w:t>Note(s</w:t>
      </w:r>
      <w:proofErr w:type="gramStart"/>
      <w:r w:rsidRPr="00B95EF7">
        <w:rPr>
          <w:rFonts w:asciiTheme="majorBidi" w:hAnsiTheme="majorBidi" w:cstheme="majorBidi"/>
          <w:b/>
          <w:sz w:val="18"/>
          <w:szCs w:val="20"/>
        </w:rPr>
        <w:t>):</w:t>
      </w:r>
      <w:proofErr w:type="gramEnd"/>
      <w:r w:rsidRPr="007F6074">
        <w:rPr>
          <w:rFonts w:asciiTheme="majorBidi" w:hAnsiTheme="majorBidi" w:cstheme="majorBidi"/>
          <w:sz w:val="18"/>
          <w:szCs w:val="20"/>
        </w:rPr>
        <w:t xml:space="preserve"> This table presents the correlation matrix between the variables used in the present study. </w:t>
      </w:r>
      <w:r>
        <w:rPr>
          <w:rFonts w:asciiTheme="majorBidi" w:hAnsiTheme="majorBidi" w:cstheme="majorBidi"/>
          <w:sz w:val="18"/>
          <w:szCs w:val="20"/>
        </w:rPr>
        <w:t xml:space="preserve"> </w:t>
      </w:r>
    </w:p>
    <w:p w:rsidR="00931690" w:rsidRPr="0000458F" w:rsidRDefault="00931690" w:rsidP="009721CD">
      <w:pPr>
        <w:spacing w:line="360" w:lineRule="auto"/>
        <w:ind w:left="425"/>
        <w:rPr>
          <w:rFonts w:asciiTheme="majorBidi" w:hAnsiTheme="majorBidi" w:cstheme="majorBidi"/>
          <w:szCs w:val="20"/>
        </w:rPr>
        <w:sectPr w:rsidR="00931690" w:rsidRPr="0000458F" w:rsidSect="00931690">
          <w:pgSz w:w="16838" w:h="11906" w:orient="landscape"/>
          <w:pgMar w:top="1418" w:right="1418" w:bottom="1418" w:left="1418" w:header="709" w:footer="709" w:gutter="0"/>
          <w:cols w:space="708"/>
          <w:docGrid w:linePitch="360"/>
        </w:sectPr>
      </w:pPr>
      <w:proofErr w:type="gramStart"/>
      <w:r w:rsidRPr="00641D5C">
        <w:rPr>
          <w:b/>
          <w:sz w:val="18"/>
          <w:szCs w:val="18"/>
        </w:rPr>
        <w:t>Source:</w:t>
      </w:r>
      <w:proofErr w:type="gramEnd"/>
      <w:r w:rsidRPr="00641D5C">
        <w:rPr>
          <w:sz w:val="18"/>
          <w:szCs w:val="18"/>
        </w:rPr>
        <w:t xml:space="preserve"> Authors’ own work</w:t>
      </w:r>
    </w:p>
    <w:p w:rsidR="00150492" w:rsidRDefault="00150492" w:rsidP="0054765B">
      <w:pPr>
        <w:ind w:left="1145" w:hanging="357"/>
        <w:outlineLvl w:val="1"/>
        <w:rPr>
          <w:b/>
          <w:iCs/>
          <w:sz w:val="24"/>
          <w:szCs w:val="24"/>
        </w:rPr>
      </w:pPr>
      <w:r w:rsidRPr="00530757">
        <w:rPr>
          <w:rFonts w:asciiTheme="majorBidi" w:hAnsiTheme="majorBidi" w:cstheme="majorBidi"/>
          <w:b/>
          <w:iCs/>
          <w:sz w:val="24"/>
          <w:szCs w:val="24"/>
        </w:rPr>
        <w:lastRenderedPageBreak/>
        <w:t xml:space="preserve">4.3 </w:t>
      </w:r>
      <w:r w:rsidRPr="00530757">
        <w:rPr>
          <w:b/>
          <w:iCs/>
          <w:sz w:val="24"/>
          <w:szCs w:val="24"/>
        </w:rPr>
        <w:t>Selection of fixed or random effects</w:t>
      </w:r>
    </w:p>
    <w:p w:rsidR="00530757" w:rsidRPr="00530757" w:rsidRDefault="00530757" w:rsidP="00DE06F5">
      <w:pPr>
        <w:ind w:left="425" w:rightChars="845" w:right="1859"/>
        <w:jc w:val="both"/>
        <w:rPr>
          <w:b/>
          <w:iCs/>
          <w:sz w:val="24"/>
          <w:szCs w:val="24"/>
        </w:rPr>
      </w:pPr>
    </w:p>
    <w:p w:rsidR="00150492" w:rsidRDefault="00150492" w:rsidP="00DE06F5">
      <w:pPr>
        <w:ind w:left="425" w:rightChars="845" w:right="1859"/>
        <w:jc w:val="both"/>
        <w:rPr>
          <w:rFonts w:asciiTheme="majorBidi" w:hAnsiTheme="majorBidi" w:cstheme="majorBidi"/>
          <w:bCs/>
          <w:sz w:val="24"/>
          <w:szCs w:val="24"/>
        </w:rPr>
      </w:pPr>
      <w:r w:rsidRPr="00B177B4">
        <w:rPr>
          <w:rFonts w:asciiTheme="majorBidi" w:hAnsiTheme="majorBidi" w:cstheme="majorBidi"/>
          <w:bCs/>
          <w:sz w:val="24"/>
          <w:szCs w:val="24"/>
        </w:rPr>
        <w:t>The decision to choose fixed or random effects depends on the results of the Hausman test, which is generally used to determine the consistency of the generalized least squares (GLS) estimator in static models with pooled cross-sectional time series data. This test</w:t>
      </w:r>
      <w:r>
        <w:rPr>
          <w:rFonts w:asciiTheme="majorBidi" w:hAnsiTheme="majorBidi" w:cstheme="majorBidi"/>
          <w:bCs/>
          <w:sz w:val="24"/>
          <w:szCs w:val="24"/>
        </w:rPr>
        <w:t>,</w:t>
      </w:r>
      <w:r w:rsidRPr="00B177B4">
        <w:rPr>
          <w:rFonts w:asciiTheme="majorBidi" w:hAnsiTheme="majorBidi" w:cstheme="majorBidi"/>
          <w:bCs/>
          <w:sz w:val="24"/>
          <w:szCs w:val="24"/>
        </w:rPr>
        <w:t xml:space="preserve"> carried out on our data, produced a significant result, proving the use of fixed-effects regression analysis.</w:t>
      </w:r>
    </w:p>
    <w:p w:rsidR="00530757" w:rsidRPr="00B177B4" w:rsidRDefault="00530757" w:rsidP="00DE06F5">
      <w:pPr>
        <w:ind w:left="425" w:rightChars="845" w:right="1859"/>
        <w:jc w:val="both"/>
        <w:rPr>
          <w:rFonts w:asciiTheme="majorBidi" w:hAnsiTheme="majorBidi" w:cstheme="majorBidi"/>
          <w:bCs/>
          <w:sz w:val="24"/>
          <w:szCs w:val="24"/>
        </w:rPr>
      </w:pPr>
    </w:p>
    <w:p w:rsidR="00150492" w:rsidRPr="00530757" w:rsidRDefault="00150492" w:rsidP="0054765B">
      <w:pPr>
        <w:ind w:left="1145" w:hanging="357"/>
        <w:outlineLvl w:val="1"/>
        <w:rPr>
          <w:rFonts w:asciiTheme="majorBidi" w:hAnsiTheme="majorBidi" w:cstheme="majorBidi"/>
          <w:b/>
          <w:iCs/>
          <w:sz w:val="24"/>
          <w:szCs w:val="24"/>
        </w:rPr>
      </w:pPr>
      <w:r w:rsidRPr="00530757">
        <w:rPr>
          <w:rFonts w:asciiTheme="majorBidi" w:hAnsiTheme="majorBidi" w:cstheme="majorBidi"/>
          <w:b/>
          <w:iCs/>
          <w:sz w:val="24"/>
          <w:szCs w:val="24"/>
        </w:rPr>
        <w:t>4.4 Multivariate analysis and discussion</w:t>
      </w:r>
    </w:p>
    <w:p w:rsidR="00530757" w:rsidRDefault="00530757" w:rsidP="00DE06F5">
      <w:pPr>
        <w:ind w:left="425" w:rightChars="845" w:right="1859"/>
        <w:jc w:val="both"/>
        <w:rPr>
          <w:sz w:val="24"/>
          <w:szCs w:val="24"/>
        </w:rPr>
      </w:pPr>
    </w:p>
    <w:p w:rsidR="00150492" w:rsidRPr="003860C1" w:rsidRDefault="00150492" w:rsidP="00DE06F5">
      <w:pPr>
        <w:ind w:left="425" w:rightChars="845" w:right="1859"/>
        <w:jc w:val="both"/>
        <w:rPr>
          <w:sz w:val="24"/>
          <w:szCs w:val="24"/>
        </w:rPr>
      </w:pPr>
      <w:r w:rsidRPr="003860C1">
        <w:rPr>
          <w:sz w:val="24"/>
          <w:szCs w:val="24"/>
        </w:rPr>
        <w:t xml:space="preserve">Table </w:t>
      </w:r>
      <w:r>
        <w:rPr>
          <w:sz w:val="24"/>
          <w:szCs w:val="24"/>
        </w:rPr>
        <w:t>5</w:t>
      </w:r>
      <w:r w:rsidRPr="003860C1">
        <w:rPr>
          <w:sz w:val="24"/>
          <w:szCs w:val="24"/>
        </w:rPr>
        <w:t xml:space="preserve"> shows the estimate for model 1 (H1), which investigates the direct relationship between “</w:t>
      </w:r>
      <w:r>
        <w:rPr>
          <w:sz w:val="24"/>
          <w:szCs w:val="24"/>
        </w:rPr>
        <w:t>environmental transparency</w:t>
      </w:r>
      <w:r w:rsidRPr="003860C1">
        <w:rPr>
          <w:sz w:val="24"/>
          <w:szCs w:val="24"/>
        </w:rPr>
        <w:t>” and “tax avoidance”.</w:t>
      </w:r>
      <w:r>
        <w:rPr>
          <w:sz w:val="24"/>
          <w:szCs w:val="24"/>
        </w:rPr>
        <w:t xml:space="preserve"> </w:t>
      </w:r>
      <w:r w:rsidRPr="003860C1">
        <w:rPr>
          <w:sz w:val="24"/>
          <w:szCs w:val="24"/>
        </w:rPr>
        <w:t xml:space="preserve">The R2 is 0.46, suggesting that regression model 1 can explain 46% of the variance in tax avoidance. </w:t>
      </w:r>
    </w:p>
    <w:p w:rsidR="00150492" w:rsidRPr="000E69D0" w:rsidRDefault="00150492" w:rsidP="00DE06F5">
      <w:pPr>
        <w:ind w:left="425" w:rightChars="845" w:right="1859"/>
        <w:jc w:val="both"/>
        <w:rPr>
          <w:sz w:val="24"/>
          <w:szCs w:val="24"/>
        </w:rPr>
      </w:pPr>
      <w:r w:rsidRPr="000E69D0">
        <w:rPr>
          <w:sz w:val="24"/>
          <w:szCs w:val="24"/>
        </w:rPr>
        <w:t xml:space="preserve">Although </w:t>
      </w:r>
      <w:r>
        <w:rPr>
          <w:sz w:val="24"/>
          <w:szCs w:val="24"/>
        </w:rPr>
        <w:t>environmental transparency</w:t>
      </w:r>
      <w:r w:rsidRPr="000E69D0">
        <w:rPr>
          <w:sz w:val="24"/>
          <w:szCs w:val="24"/>
        </w:rPr>
        <w:t xml:space="preserve"> is negatively related to corporate tax avoidance, this finding aligns with previous research (Lanis and Richardson, </w:t>
      </w:r>
      <w:proofErr w:type="gramStart"/>
      <w:r w:rsidRPr="000E69D0">
        <w:rPr>
          <w:sz w:val="24"/>
          <w:szCs w:val="24"/>
        </w:rPr>
        <w:t>2012;</w:t>
      </w:r>
      <w:proofErr w:type="gramEnd"/>
      <w:r w:rsidRPr="000E69D0">
        <w:rPr>
          <w:sz w:val="24"/>
          <w:szCs w:val="24"/>
        </w:rPr>
        <w:t xml:space="preserve"> Hoi et al., 2013; Watson, 2015; Kovermann et </w:t>
      </w:r>
      <w:r>
        <w:rPr>
          <w:sz w:val="24"/>
          <w:szCs w:val="24"/>
        </w:rPr>
        <w:t>velte</w:t>
      </w:r>
      <w:r w:rsidRPr="000E69D0">
        <w:rPr>
          <w:sz w:val="24"/>
          <w:szCs w:val="24"/>
        </w:rPr>
        <w:t>, 2021; Rakia et al., 2024), which consistently shows that socially irresponsible activities are linked to lower effective tax rates (ETR). In other words, companies with better CSR performance tend to engage in less tax avoidance. Hoi et al. (2013), for instance, analyzed a sample of around 2,500 US companies using various tax avoidance indices and a composite CSR indicator. They found that companies scoring lower on CSR were more likely to avoid taxes. Similarly, Ortas and Gallego-Alvarez (2020) reported a negative relationship between C</w:t>
      </w:r>
      <w:r>
        <w:rPr>
          <w:sz w:val="24"/>
          <w:szCs w:val="24"/>
        </w:rPr>
        <w:t>SR and corporate tax avoidance.</w:t>
      </w:r>
    </w:p>
    <w:p w:rsidR="00150492" w:rsidRPr="000072B8" w:rsidRDefault="00150492" w:rsidP="00DE06F5">
      <w:pPr>
        <w:ind w:left="425" w:rightChars="845" w:right="1859"/>
        <w:jc w:val="both"/>
        <w:rPr>
          <w:sz w:val="24"/>
          <w:szCs w:val="24"/>
        </w:rPr>
      </w:pPr>
      <w:r w:rsidRPr="000E69D0">
        <w:rPr>
          <w:sz w:val="24"/>
          <w:szCs w:val="24"/>
        </w:rPr>
        <w:t xml:space="preserve">This relationship suggests that while CSR represents a company's responsibility toward all stakeholders, paying taxes is a form of CSR directed toward society through the government. Dewi and Gunawan (2019) argue that CSR implementation demonstrates a company's efforts to benefit its stakeholders. From the perspective of stakeholder theory, this supports a negative relationship between </w:t>
      </w:r>
      <w:r>
        <w:rPr>
          <w:sz w:val="24"/>
          <w:szCs w:val="24"/>
        </w:rPr>
        <w:t>environmental transparency</w:t>
      </w:r>
      <w:r w:rsidRPr="000E69D0">
        <w:rPr>
          <w:sz w:val="24"/>
          <w:szCs w:val="24"/>
        </w:rPr>
        <w:t xml:space="preserve"> and tax avoidance. The findings also support the normative view that companies contribute to societal well-being by pursuing CSR initiatives and f</w:t>
      </w:r>
      <w:r>
        <w:rPr>
          <w:sz w:val="24"/>
          <w:szCs w:val="24"/>
        </w:rPr>
        <w:t>ulfilling their tax obligations</w:t>
      </w:r>
      <w:r w:rsidRPr="00FA06D6">
        <w:rPr>
          <w:sz w:val="24"/>
          <w:szCs w:val="24"/>
        </w:rPr>
        <w:t>.</w:t>
      </w:r>
    </w:p>
    <w:p w:rsidR="00931690" w:rsidRDefault="00931690" w:rsidP="009721CD">
      <w:pPr>
        <w:spacing w:line="360" w:lineRule="auto"/>
        <w:ind w:left="425" w:firstLine="227"/>
        <w:rPr>
          <w:rFonts w:asciiTheme="majorBidi" w:hAnsiTheme="majorBidi" w:cstheme="majorBidi"/>
          <w:bCs/>
          <w:sz w:val="24"/>
          <w:szCs w:val="24"/>
        </w:rPr>
      </w:pPr>
    </w:p>
    <w:p w:rsidR="00931690" w:rsidRDefault="00931690" w:rsidP="009721CD">
      <w:pPr>
        <w:spacing w:line="360" w:lineRule="auto"/>
        <w:ind w:left="425" w:firstLine="227"/>
        <w:rPr>
          <w:rFonts w:asciiTheme="majorBidi" w:hAnsiTheme="majorBidi" w:cstheme="majorBidi"/>
          <w:bCs/>
          <w:sz w:val="24"/>
          <w:szCs w:val="24"/>
        </w:rPr>
      </w:pPr>
      <w:r w:rsidRPr="00BC5FD8">
        <w:rPr>
          <w:b/>
          <w:bCs/>
          <w:iCs/>
          <w:sz w:val="24"/>
          <w:szCs w:val="24"/>
        </w:rPr>
        <w:t xml:space="preserve">Table 5. </w:t>
      </w:r>
      <w:r w:rsidRPr="00BC5FD8">
        <w:rPr>
          <w:bCs/>
          <w:iCs/>
          <w:sz w:val="24"/>
          <w:szCs w:val="24"/>
        </w:rPr>
        <w:t>Regression results</w:t>
      </w:r>
    </w:p>
    <w:tbl>
      <w:tblPr>
        <w:tblW w:w="7938" w:type="dxa"/>
        <w:tblInd w:w="567" w:type="dxa"/>
        <w:tblBorders>
          <w:bottom w:val="single" w:sz="4" w:space="0" w:color="auto"/>
        </w:tblBorders>
        <w:tblLayout w:type="fixed"/>
        <w:tblLook w:val="04A0" w:firstRow="1" w:lastRow="0" w:firstColumn="1" w:lastColumn="0" w:noHBand="0" w:noVBand="1"/>
      </w:tblPr>
      <w:tblGrid>
        <w:gridCol w:w="3710"/>
        <w:gridCol w:w="2494"/>
        <w:gridCol w:w="1734"/>
      </w:tblGrid>
      <w:tr w:rsidR="00931690" w:rsidRPr="00BC43C6" w:rsidTr="00127471">
        <w:trPr>
          <w:trHeight w:val="263"/>
        </w:trPr>
        <w:tc>
          <w:tcPr>
            <w:tcW w:w="3710" w:type="dxa"/>
            <w:tcBorders>
              <w:top w:val="single" w:sz="4" w:space="0" w:color="auto"/>
              <w:bottom w:val="single" w:sz="4" w:space="0" w:color="auto"/>
            </w:tcBorders>
          </w:tcPr>
          <w:p w:rsidR="00931690" w:rsidRPr="001B2587" w:rsidRDefault="00931690" w:rsidP="009721CD">
            <w:pPr>
              <w:adjustRightInd w:val="0"/>
              <w:ind w:left="425"/>
              <w:rPr>
                <w:b/>
                <w:bCs/>
                <w:i/>
                <w:iCs/>
                <w:sz w:val="24"/>
                <w:szCs w:val="24"/>
              </w:rPr>
            </w:pPr>
          </w:p>
        </w:tc>
        <w:tc>
          <w:tcPr>
            <w:tcW w:w="4228" w:type="dxa"/>
            <w:gridSpan w:val="2"/>
            <w:tcBorders>
              <w:top w:val="single" w:sz="4" w:space="0" w:color="auto"/>
              <w:bottom w:val="single" w:sz="4" w:space="0" w:color="auto"/>
            </w:tcBorders>
          </w:tcPr>
          <w:p w:rsidR="00931690" w:rsidRPr="001B2587" w:rsidRDefault="00931690" w:rsidP="009721CD">
            <w:pPr>
              <w:adjustRightInd w:val="0"/>
              <w:ind w:left="425"/>
              <w:rPr>
                <w:b/>
                <w:bCs/>
                <w:i/>
                <w:iCs/>
                <w:sz w:val="24"/>
                <w:szCs w:val="24"/>
              </w:rPr>
            </w:pPr>
            <w:r w:rsidRPr="001B2587">
              <w:rPr>
                <w:b/>
                <w:sz w:val="24"/>
              </w:rPr>
              <w:t>Model (1)</w:t>
            </w:r>
          </w:p>
        </w:tc>
      </w:tr>
      <w:tr w:rsidR="00931690" w:rsidRPr="00BC43C6" w:rsidTr="00127471">
        <w:trPr>
          <w:trHeight w:val="263"/>
        </w:trPr>
        <w:tc>
          <w:tcPr>
            <w:tcW w:w="3710" w:type="dxa"/>
            <w:tcBorders>
              <w:top w:val="single" w:sz="4" w:space="0" w:color="auto"/>
              <w:bottom w:val="single" w:sz="4" w:space="0" w:color="auto"/>
            </w:tcBorders>
          </w:tcPr>
          <w:p w:rsidR="00931690" w:rsidRPr="001B2587" w:rsidRDefault="00931690" w:rsidP="009721CD">
            <w:pPr>
              <w:adjustRightInd w:val="0"/>
              <w:ind w:left="425"/>
              <w:rPr>
                <w:b/>
                <w:bCs/>
                <w:i/>
                <w:iCs/>
                <w:sz w:val="24"/>
                <w:szCs w:val="24"/>
              </w:rPr>
            </w:pPr>
            <w:r w:rsidRPr="001B2587">
              <w:rPr>
                <w:b/>
                <w:sz w:val="24"/>
              </w:rPr>
              <w:t>Variables</w:t>
            </w:r>
          </w:p>
        </w:tc>
        <w:tc>
          <w:tcPr>
            <w:tcW w:w="2494" w:type="dxa"/>
            <w:tcBorders>
              <w:top w:val="single" w:sz="4" w:space="0" w:color="auto"/>
              <w:bottom w:val="single" w:sz="4" w:space="0" w:color="auto"/>
            </w:tcBorders>
          </w:tcPr>
          <w:p w:rsidR="00931690" w:rsidRPr="001B2587" w:rsidRDefault="00931690" w:rsidP="009721CD">
            <w:pPr>
              <w:adjustRightInd w:val="0"/>
              <w:ind w:left="425"/>
              <w:rPr>
                <w:b/>
                <w:bCs/>
                <w:i/>
                <w:iCs/>
                <w:sz w:val="24"/>
                <w:szCs w:val="24"/>
              </w:rPr>
            </w:pPr>
            <w:r w:rsidRPr="001B2587">
              <w:rPr>
                <w:b/>
                <w:sz w:val="24"/>
              </w:rPr>
              <w:t>Coef.</w:t>
            </w:r>
          </w:p>
        </w:tc>
        <w:tc>
          <w:tcPr>
            <w:tcW w:w="1734" w:type="dxa"/>
            <w:tcBorders>
              <w:top w:val="single" w:sz="4" w:space="0" w:color="auto"/>
              <w:bottom w:val="single" w:sz="4" w:space="0" w:color="auto"/>
            </w:tcBorders>
          </w:tcPr>
          <w:p w:rsidR="00931690" w:rsidRPr="001B2587" w:rsidRDefault="00931690" w:rsidP="009721CD">
            <w:pPr>
              <w:adjustRightInd w:val="0"/>
              <w:ind w:left="425"/>
              <w:rPr>
                <w:b/>
                <w:bCs/>
                <w:i/>
                <w:iCs/>
                <w:sz w:val="24"/>
                <w:szCs w:val="24"/>
              </w:rPr>
            </w:pPr>
            <w:proofErr w:type="gramStart"/>
            <w:r>
              <w:rPr>
                <w:b/>
                <w:sz w:val="24"/>
              </w:rPr>
              <w:t>z</w:t>
            </w:r>
            <w:proofErr w:type="gramEnd"/>
            <w:r w:rsidR="00752419">
              <w:rPr>
                <w:b/>
                <w:sz w:val="24"/>
              </w:rPr>
              <w:t>-</w:t>
            </w:r>
            <w:r w:rsidRPr="001B2587">
              <w:rPr>
                <w:b/>
                <w:sz w:val="24"/>
              </w:rPr>
              <w:t>statistic</w:t>
            </w:r>
          </w:p>
        </w:tc>
      </w:tr>
      <w:tr w:rsidR="00931690" w:rsidRPr="00BC43C6" w:rsidTr="00127471">
        <w:trPr>
          <w:trHeight w:val="263"/>
        </w:trPr>
        <w:tc>
          <w:tcPr>
            <w:tcW w:w="3710" w:type="dxa"/>
            <w:tcBorders>
              <w:top w:val="single" w:sz="4" w:space="0" w:color="auto"/>
              <w:bottom w:val="nil"/>
            </w:tcBorders>
          </w:tcPr>
          <w:p w:rsidR="00931690" w:rsidRPr="00BC43C6" w:rsidRDefault="00931690" w:rsidP="009721CD">
            <w:pPr>
              <w:ind w:left="425"/>
              <w:rPr>
                <w:sz w:val="24"/>
                <w:szCs w:val="24"/>
              </w:rPr>
            </w:pPr>
            <w:r w:rsidRPr="00BC43C6">
              <w:rPr>
                <w:sz w:val="24"/>
                <w:szCs w:val="24"/>
              </w:rPr>
              <w:t>Intercept</w:t>
            </w:r>
          </w:p>
        </w:tc>
        <w:tc>
          <w:tcPr>
            <w:tcW w:w="2494" w:type="dxa"/>
            <w:tcBorders>
              <w:top w:val="single" w:sz="4" w:space="0" w:color="auto"/>
              <w:bottom w:val="nil"/>
            </w:tcBorders>
          </w:tcPr>
          <w:p w:rsidR="00931690" w:rsidRPr="00BC43C6" w:rsidRDefault="00931690" w:rsidP="009721CD">
            <w:pPr>
              <w:ind w:left="425"/>
              <w:rPr>
                <w:sz w:val="24"/>
                <w:szCs w:val="24"/>
              </w:rPr>
            </w:pPr>
            <w:r w:rsidRPr="00BC43C6">
              <w:rPr>
                <w:sz w:val="24"/>
                <w:szCs w:val="24"/>
              </w:rPr>
              <w:t>0.342***</w:t>
            </w:r>
          </w:p>
        </w:tc>
        <w:tc>
          <w:tcPr>
            <w:tcW w:w="1734" w:type="dxa"/>
            <w:tcBorders>
              <w:top w:val="single" w:sz="4" w:space="0" w:color="auto"/>
              <w:bottom w:val="nil"/>
            </w:tcBorders>
          </w:tcPr>
          <w:p w:rsidR="00931690" w:rsidRPr="00BC43C6" w:rsidRDefault="00931690" w:rsidP="009721CD">
            <w:pPr>
              <w:ind w:left="425"/>
              <w:rPr>
                <w:sz w:val="24"/>
                <w:szCs w:val="24"/>
              </w:rPr>
            </w:pPr>
            <w:r w:rsidRPr="00BC43C6">
              <w:rPr>
                <w:sz w:val="24"/>
                <w:szCs w:val="24"/>
              </w:rPr>
              <w:t>46.93</w:t>
            </w:r>
          </w:p>
        </w:tc>
      </w:tr>
      <w:tr w:rsidR="00931690" w:rsidRPr="00BC43C6" w:rsidTr="00127471">
        <w:trPr>
          <w:trHeight w:val="279"/>
        </w:trPr>
        <w:tc>
          <w:tcPr>
            <w:tcW w:w="3710" w:type="dxa"/>
          </w:tcPr>
          <w:p w:rsidR="00931690" w:rsidRPr="00BC43C6" w:rsidRDefault="00931690" w:rsidP="009721CD">
            <w:pPr>
              <w:ind w:left="425"/>
              <w:rPr>
                <w:sz w:val="24"/>
                <w:szCs w:val="24"/>
              </w:rPr>
            </w:pPr>
            <w:r>
              <w:rPr>
                <w:sz w:val="24"/>
                <w:szCs w:val="24"/>
              </w:rPr>
              <w:t>CED</w:t>
            </w:r>
          </w:p>
        </w:tc>
        <w:tc>
          <w:tcPr>
            <w:tcW w:w="2494" w:type="dxa"/>
          </w:tcPr>
          <w:p w:rsidR="00931690" w:rsidRPr="00BC43C6" w:rsidRDefault="00931690" w:rsidP="009721CD">
            <w:pPr>
              <w:ind w:left="425"/>
              <w:rPr>
                <w:sz w:val="24"/>
                <w:szCs w:val="24"/>
              </w:rPr>
            </w:pPr>
            <w:r w:rsidRPr="00BC43C6">
              <w:rPr>
                <w:sz w:val="24"/>
                <w:szCs w:val="24"/>
              </w:rPr>
              <w:t>-0.329***</w:t>
            </w:r>
          </w:p>
        </w:tc>
        <w:tc>
          <w:tcPr>
            <w:tcW w:w="1734" w:type="dxa"/>
          </w:tcPr>
          <w:p w:rsidR="00931690" w:rsidRPr="00BC43C6" w:rsidRDefault="00931690" w:rsidP="009721CD">
            <w:pPr>
              <w:ind w:left="425"/>
              <w:rPr>
                <w:sz w:val="24"/>
                <w:szCs w:val="24"/>
              </w:rPr>
            </w:pPr>
            <w:r w:rsidRPr="00BC43C6">
              <w:rPr>
                <w:sz w:val="24"/>
                <w:szCs w:val="24"/>
              </w:rPr>
              <w:t>-8.36</w:t>
            </w:r>
          </w:p>
        </w:tc>
      </w:tr>
      <w:tr w:rsidR="00931690" w:rsidRPr="00BC43C6" w:rsidTr="00127471">
        <w:trPr>
          <w:trHeight w:val="263"/>
        </w:trPr>
        <w:tc>
          <w:tcPr>
            <w:tcW w:w="3710" w:type="dxa"/>
            <w:tcBorders>
              <w:top w:val="nil"/>
            </w:tcBorders>
          </w:tcPr>
          <w:p w:rsidR="00931690" w:rsidRPr="00BC43C6" w:rsidRDefault="00931690" w:rsidP="009721CD">
            <w:pPr>
              <w:ind w:left="425"/>
              <w:rPr>
                <w:sz w:val="24"/>
                <w:szCs w:val="24"/>
              </w:rPr>
            </w:pPr>
            <w:r w:rsidRPr="00BC43C6">
              <w:rPr>
                <w:sz w:val="24"/>
                <w:szCs w:val="24"/>
              </w:rPr>
              <w:t>FIRM_LEV</w:t>
            </w:r>
          </w:p>
        </w:tc>
        <w:tc>
          <w:tcPr>
            <w:tcW w:w="2494" w:type="dxa"/>
            <w:tcBorders>
              <w:top w:val="nil"/>
            </w:tcBorders>
            <w:shd w:val="clear" w:color="auto" w:fill="FFFFFF"/>
          </w:tcPr>
          <w:p w:rsidR="00931690" w:rsidRPr="00BC43C6" w:rsidRDefault="00931690" w:rsidP="009721CD">
            <w:pPr>
              <w:ind w:left="425"/>
              <w:rPr>
                <w:sz w:val="24"/>
                <w:szCs w:val="24"/>
              </w:rPr>
            </w:pPr>
            <w:r w:rsidRPr="00BC43C6">
              <w:rPr>
                <w:sz w:val="24"/>
                <w:szCs w:val="24"/>
              </w:rPr>
              <w:t>0.006</w:t>
            </w:r>
          </w:p>
        </w:tc>
        <w:tc>
          <w:tcPr>
            <w:tcW w:w="1734" w:type="dxa"/>
            <w:tcBorders>
              <w:top w:val="nil"/>
            </w:tcBorders>
            <w:shd w:val="clear" w:color="auto" w:fill="FFFFFF"/>
          </w:tcPr>
          <w:p w:rsidR="00931690" w:rsidRPr="00BC43C6" w:rsidRDefault="00931690" w:rsidP="009721CD">
            <w:pPr>
              <w:ind w:left="425"/>
              <w:rPr>
                <w:sz w:val="24"/>
                <w:szCs w:val="24"/>
              </w:rPr>
            </w:pPr>
            <w:r w:rsidRPr="00BC43C6">
              <w:rPr>
                <w:sz w:val="24"/>
                <w:szCs w:val="24"/>
              </w:rPr>
              <w:t>1.47</w:t>
            </w:r>
          </w:p>
        </w:tc>
      </w:tr>
      <w:tr w:rsidR="00931690" w:rsidRPr="00BC43C6" w:rsidTr="00127471">
        <w:trPr>
          <w:trHeight w:val="263"/>
        </w:trPr>
        <w:tc>
          <w:tcPr>
            <w:tcW w:w="3710" w:type="dxa"/>
          </w:tcPr>
          <w:p w:rsidR="00931690" w:rsidRPr="00BC43C6" w:rsidRDefault="00931690" w:rsidP="009721CD">
            <w:pPr>
              <w:ind w:left="425"/>
              <w:rPr>
                <w:sz w:val="24"/>
                <w:szCs w:val="24"/>
              </w:rPr>
            </w:pPr>
            <w:r w:rsidRPr="00BC43C6">
              <w:rPr>
                <w:sz w:val="24"/>
                <w:szCs w:val="24"/>
              </w:rPr>
              <w:t>FIRM_SIZE</w:t>
            </w:r>
          </w:p>
        </w:tc>
        <w:tc>
          <w:tcPr>
            <w:tcW w:w="2494" w:type="dxa"/>
            <w:shd w:val="clear" w:color="auto" w:fill="FFFFFF"/>
          </w:tcPr>
          <w:p w:rsidR="00931690" w:rsidRPr="00BC43C6" w:rsidRDefault="00931690" w:rsidP="009721CD">
            <w:pPr>
              <w:ind w:left="425"/>
              <w:rPr>
                <w:sz w:val="24"/>
                <w:szCs w:val="24"/>
              </w:rPr>
            </w:pPr>
            <w:r w:rsidRPr="00BC43C6">
              <w:rPr>
                <w:sz w:val="24"/>
                <w:szCs w:val="24"/>
              </w:rPr>
              <w:t>0.002***</w:t>
            </w:r>
          </w:p>
        </w:tc>
        <w:tc>
          <w:tcPr>
            <w:tcW w:w="1734" w:type="dxa"/>
            <w:shd w:val="clear" w:color="auto" w:fill="FFFFFF"/>
          </w:tcPr>
          <w:p w:rsidR="00931690" w:rsidRPr="00BC43C6" w:rsidRDefault="00931690" w:rsidP="009721CD">
            <w:pPr>
              <w:ind w:left="425"/>
              <w:rPr>
                <w:sz w:val="24"/>
                <w:szCs w:val="24"/>
              </w:rPr>
            </w:pPr>
            <w:r w:rsidRPr="00BC43C6">
              <w:rPr>
                <w:sz w:val="24"/>
                <w:szCs w:val="24"/>
              </w:rPr>
              <w:t>8.21</w:t>
            </w:r>
          </w:p>
        </w:tc>
      </w:tr>
      <w:tr w:rsidR="00931690" w:rsidRPr="00BC43C6" w:rsidTr="00127471">
        <w:trPr>
          <w:trHeight w:val="279"/>
        </w:trPr>
        <w:tc>
          <w:tcPr>
            <w:tcW w:w="3710" w:type="dxa"/>
          </w:tcPr>
          <w:p w:rsidR="00931690" w:rsidRPr="00BC43C6" w:rsidRDefault="00931690" w:rsidP="009721CD">
            <w:pPr>
              <w:ind w:left="425"/>
              <w:rPr>
                <w:sz w:val="24"/>
                <w:szCs w:val="24"/>
              </w:rPr>
            </w:pPr>
            <w:r w:rsidRPr="00BC43C6">
              <w:rPr>
                <w:sz w:val="24"/>
                <w:szCs w:val="24"/>
              </w:rPr>
              <w:t>ROA</w:t>
            </w:r>
          </w:p>
        </w:tc>
        <w:tc>
          <w:tcPr>
            <w:tcW w:w="2494" w:type="dxa"/>
            <w:shd w:val="clear" w:color="auto" w:fill="FFFFFF"/>
          </w:tcPr>
          <w:p w:rsidR="00931690" w:rsidRPr="00BC43C6" w:rsidRDefault="00931690" w:rsidP="009721CD">
            <w:pPr>
              <w:ind w:left="425"/>
              <w:rPr>
                <w:sz w:val="24"/>
                <w:szCs w:val="24"/>
              </w:rPr>
            </w:pPr>
            <w:r w:rsidRPr="00BC43C6">
              <w:rPr>
                <w:sz w:val="24"/>
                <w:szCs w:val="24"/>
              </w:rPr>
              <w:t>-0.498***</w:t>
            </w:r>
          </w:p>
        </w:tc>
        <w:tc>
          <w:tcPr>
            <w:tcW w:w="1734" w:type="dxa"/>
            <w:shd w:val="clear" w:color="auto" w:fill="FFFFFF"/>
          </w:tcPr>
          <w:p w:rsidR="00931690" w:rsidRPr="00BC43C6" w:rsidRDefault="00931690" w:rsidP="009721CD">
            <w:pPr>
              <w:ind w:left="425"/>
              <w:rPr>
                <w:sz w:val="24"/>
                <w:szCs w:val="24"/>
              </w:rPr>
            </w:pPr>
            <w:r w:rsidRPr="00BC43C6">
              <w:rPr>
                <w:sz w:val="24"/>
                <w:szCs w:val="24"/>
              </w:rPr>
              <w:t>-47.55</w:t>
            </w:r>
          </w:p>
        </w:tc>
      </w:tr>
      <w:tr w:rsidR="00931690" w:rsidRPr="00BC43C6" w:rsidTr="00127471">
        <w:trPr>
          <w:trHeight w:val="263"/>
        </w:trPr>
        <w:tc>
          <w:tcPr>
            <w:tcW w:w="3710" w:type="dxa"/>
          </w:tcPr>
          <w:p w:rsidR="00931690" w:rsidRPr="00BC43C6" w:rsidRDefault="00931690" w:rsidP="009721CD">
            <w:pPr>
              <w:ind w:left="425"/>
              <w:rPr>
                <w:bCs/>
                <w:sz w:val="24"/>
                <w:szCs w:val="24"/>
              </w:rPr>
            </w:pPr>
            <w:r w:rsidRPr="00BC43C6">
              <w:rPr>
                <w:bCs/>
                <w:sz w:val="24"/>
                <w:szCs w:val="24"/>
              </w:rPr>
              <w:t>PPE</w:t>
            </w:r>
          </w:p>
        </w:tc>
        <w:tc>
          <w:tcPr>
            <w:tcW w:w="2494" w:type="dxa"/>
            <w:shd w:val="clear" w:color="auto" w:fill="FFFFFF"/>
          </w:tcPr>
          <w:p w:rsidR="00931690" w:rsidRPr="00BC43C6" w:rsidRDefault="00931690" w:rsidP="009721CD">
            <w:pPr>
              <w:ind w:left="425"/>
              <w:rPr>
                <w:sz w:val="24"/>
                <w:szCs w:val="24"/>
              </w:rPr>
            </w:pPr>
            <w:r w:rsidRPr="00BC43C6">
              <w:rPr>
                <w:sz w:val="24"/>
                <w:szCs w:val="24"/>
              </w:rPr>
              <w:t>0.008**</w:t>
            </w:r>
          </w:p>
        </w:tc>
        <w:tc>
          <w:tcPr>
            <w:tcW w:w="1734" w:type="dxa"/>
            <w:shd w:val="clear" w:color="auto" w:fill="FFFFFF"/>
          </w:tcPr>
          <w:p w:rsidR="00931690" w:rsidRPr="00BC43C6" w:rsidRDefault="00931690" w:rsidP="009721CD">
            <w:pPr>
              <w:ind w:left="425"/>
              <w:rPr>
                <w:sz w:val="24"/>
                <w:szCs w:val="24"/>
              </w:rPr>
            </w:pPr>
            <w:r w:rsidRPr="00BC43C6">
              <w:rPr>
                <w:sz w:val="24"/>
                <w:szCs w:val="24"/>
              </w:rPr>
              <w:t>2.21</w:t>
            </w:r>
          </w:p>
        </w:tc>
      </w:tr>
      <w:tr w:rsidR="00931690" w:rsidRPr="00BC43C6" w:rsidTr="00127471">
        <w:trPr>
          <w:trHeight w:val="279"/>
        </w:trPr>
        <w:tc>
          <w:tcPr>
            <w:tcW w:w="3710" w:type="dxa"/>
          </w:tcPr>
          <w:p w:rsidR="00931690" w:rsidRPr="00BC43C6" w:rsidRDefault="00931690" w:rsidP="009721CD">
            <w:pPr>
              <w:ind w:left="425"/>
              <w:rPr>
                <w:bCs/>
                <w:sz w:val="24"/>
                <w:szCs w:val="24"/>
              </w:rPr>
            </w:pPr>
            <w:r w:rsidRPr="00BC43C6">
              <w:rPr>
                <w:bCs/>
                <w:sz w:val="24"/>
                <w:szCs w:val="24"/>
              </w:rPr>
              <w:lastRenderedPageBreak/>
              <w:t>CF</w:t>
            </w:r>
          </w:p>
        </w:tc>
        <w:tc>
          <w:tcPr>
            <w:tcW w:w="2494" w:type="dxa"/>
            <w:shd w:val="clear" w:color="auto" w:fill="FFFFFF"/>
          </w:tcPr>
          <w:p w:rsidR="00931690" w:rsidRPr="00BC43C6" w:rsidRDefault="00931690" w:rsidP="009721CD">
            <w:pPr>
              <w:ind w:left="425"/>
              <w:rPr>
                <w:sz w:val="24"/>
                <w:szCs w:val="24"/>
              </w:rPr>
            </w:pPr>
            <w:r w:rsidRPr="00BC43C6">
              <w:rPr>
                <w:sz w:val="24"/>
                <w:szCs w:val="24"/>
              </w:rPr>
              <w:t>-0.005***</w:t>
            </w:r>
          </w:p>
        </w:tc>
        <w:tc>
          <w:tcPr>
            <w:tcW w:w="1734" w:type="dxa"/>
            <w:shd w:val="clear" w:color="auto" w:fill="FFFFFF"/>
          </w:tcPr>
          <w:p w:rsidR="00931690" w:rsidRPr="00BC43C6" w:rsidRDefault="00931690" w:rsidP="009721CD">
            <w:pPr>
              <w:ind w:left="425"/>
              <w:rPr>
                <w:sz w:val="24"/>
                <w:szCs w:val="24"/>
              </w:rPr>
            </w:pPr>
            <w:r w:rsidRPr="00BC43C6">
              <w:rPr>
                <w:sz w:val="24"/>
                <w:szCs w:val="24"/>
              </w:rPr>
              <w:t>-13.68</w:t>
            </w:r>
          </w:p>
        </w:tc>
      </w:tr>
      <w:tr w:rsidR="00931690" w:rsidRPr="00BC43C6" w:rsidTr="00127471">
        <w:trPr>
          <w:trHeight w:val="263"/>
        </w:trPr>
        <w:tc>
          <w:tcPr>
            <w:tcW w:w="3710" w:type="dxa"/>
          </w:tcPr>
          <w:p w:rsidR="00931690" w:rsidRPr="00BC43C6" w:rsidRDefault="00931690" w:rsidP="009721CD">
            <w:pPr>
              <w:ind w:left="425"/>
              <w:rPr>
                <w:bCs/>
                <w:sz w:val="24"/>
                <w:szCs w:val="24"/>
              </w:rPr>
            </w:pPr>
            <w:r w:rsidRPr="00BC43C6">
              <w:rPr>
                <w:bCs/>
                <w:sz w:val="24"/>
                <w:szCs w:val="24"/>
              </w:rPr>
              <w:t>MTB</w:t>
            </w:r>
          </w:p>
        </w:tc>
        <w:tc>
          <w:tcPr>
            <w:tcW w:w="2494" w:type="dxa"/>
            <w:shd w:val="clear" w:color="auto" w:fill="FFFFFF"/>
          </w:tcPr>
          <w:p w:rsidR="00931690" w:rsidRPr="00BC43C6" w:rsidRDefault="00931690" w:rsidP="009721CD">
            <w:pPr>
              <w:ind w:left="425"/>
              <w:rPr>
                <w:sz w:val="24"/>
                <w:szCs w:val="24"/>
              </w:rPr>
            </w:pPr>
            <w:r w:rsidRPr="00BC43C6">
              <w:rPr>
                <w:sz w:val="24"/>
                <w:szCs w:val="24"/>
              </w:rPr>
              <w:t>0.000</w:t>
            </w:r>
          </w:p>
        </w:tc>
        <w:tc>
          <w:tcPr>
            <w:tcW w:w="1734" w:type="dxa"/>
            <w:shd w:val="clear" w:color="auto" w:fill="FFFFFF"/>
          </w:tcPr>
          <w:p w:rsidR="00931690" w:rsidRPr="00BC43C6" w:rsidRDefault="00931690" w:rsidP="009721CD">
            <w:pPr>
              <w:ind w:left="425"/>
              <w:rPr>
                <w:sz w:val="24"/>
                <w:szCs w:val="24"/>
              </w:rPr>
            </w:pPr>
            <w:r w:rsidRPr="00BC43C6">
              <w:rPr>
                <w:sz w:val="24"/>
                <w:szCs w:val="24"/>
              </w:rPr>
              <w:t>0.53</w:t>
            </w:r>
          </w:p>
        </w:tc>
      </w:tr>
      <w:tr w:rsidR="00931690" w:rsidRPr="00BC43C6" w:rsidTr="00127471">
        <w:trPr>
          <w:trHeight w:val="263"/>
        </w:trPr>
        <w:tc>
          <w:tcPr>
            <w:tcW w:w="3710" w:type="dxa"/>
            <w:tcBorders>
              <w:bottom w:val="nil"/>
            </w:tcBorders>
          </w:tcPr>
          <w:p w:rsidR="00931690" w:rsidRPr="00BC43C6" w:rsidRDefault="00931690" w:rsidP="009721CD">
            <w:pPr>
              <w:ind w:left="425"/>
              <w:rPr>
                <w:bCs/>
                <w:sz w:val="24"/>
                <w:szCs w:val="24"/>
              </w:rPr>
            </w:pPr>
            <w:r w:rsidRPr="00BC43C6">
              <w:rPr>
                <w:bCs/>
                <w:sz w:val="24"/>
                <w:szCs w:val="24"/>
              </w:rPr>
              <w:t>LEG_SYS</w:t>
            </w:r>
          </w:p>
        </w:tc>
        <w:tc>
          <w:tcPr>
            <w:tcW w:w="2494" w:type="dxa"/>
            <w:tcBorders>
              <w:bottom w:val="nil"/>
            </w:tcBorders>
            <w:shd w:val="clear" w:color="auto" w:fill="FFFFFF"/>
          </w:tcPr>
          <w:p w:rsidR="00931690" w:rsidRPr="00BC43C6" w:rsidRDefault="00931690" w:rsidP="009721CD">
            <w:pPr>
              <w:ind w:left="425"/>
              <w:rPr>
                <w:sz w:val="24"/>
                <w:szCs w:val="24"/>
              </w:rPr>
            </w:pPr>
            <w:r w:rsidRPr="00BC43C6">
              <w:rPr>
                <w:sz w:val="24"/>
                <w:szCs w:val="24"/>
              </w:rPr>
              <w:t>-0.008***</w:t>
            </w:r>
          </w:p>
        </w:tc>
        <w:tc>
          <w:tcPr>
            <w:tcW w:w="1734" w:type="dxa"/>
            <w:tcBorders>
              <w:bottom w:val="nil"/>
            </w:tcBorders>
            <w:shd w:val="clear" w:color="auto" w:fill="FFFFFF"/>
          </w:tcPr>
          <w:p w:rsidR="00931690" w:rsidRPr="00BC43C6" w:rsidRDefault="00931690" w:rsidP="009721CD">
            <w:pPr>
              <w:ind w:left="425"/>
              <w:rPr>
                <w:sz w:val="24"/>
                <w:szCs w:val="24"/>
              </w:rPr>
            </w:pPr>
            <w:r w:rsidRPr="00BC43C6">
              <w:rPr>
                <w:sz w:val="24"/>
                <w:szCs w:val="24"/>
              </w:rPr>
              <w:t>-4.37</w:t>
            </w:r>
          </w:p>
        </w:tc>
      </w:tr>
      <w:tr w:rsidR="00931690" w:rsidRPr="00BC43C6" w:rsidTr="00127471">
        <w:trPr>
          <w:trHeight w:val="240"/>
        </w:trPr>
        <w:tc>
          <w:tcPr>
            <w:tcW w:w="3710" w:type="dxa"/>
            <w:tcBorders>
              <w:bottom w:val="nil"/>
            </w:tcBorders>
          </w:tcPr>
          <w:p w:rsidR="00931690" w:rsidRPr="00BC43C6" w:rsidRDefault="00931690" w:rsidP="009721CD">
            <w:pPr>
              <w:ind w:left="425"/>
              <w:rPr>
                <w:bCs/>
                <w:sz w:val="24"/>
                <w:szCs w:val="24"/>
              </w:rPr>
            </w:pPr>
            <w:r w:rsidRPr="00BC43C6">
              <w:rPr>
                <w:bCs/>
                <w:sz w:val="24"/>
                <w:szCs w:val="24"/>
              </w:rPr>
              <w:t>COVID-19</w:t>
            </w:r>
          </w:p>
        </w:tc>
        <w:tc>
          <w:tcPr>
            <w:tcW w:w="2494" w:type="dxa"/>
            <w:tcBorders>
              <w:bottom w:val="nil"/>
            </w:tcBorders>
            <w:shd w:val="clear" w:color="auto" w:fill="FFFFFF"/>
          </w:tcPr>
          <w:p w:rsidR="00931690" w:rsidRPr="00BC43C6" w:rsidRDefault="00931690" w:rsidP="009721CD">
            <w:pPr>
              <w:ind w:left="425"/>
              <w:rPr>
                <w:sz w:val="24"/>
                <w:szCs w:val="24"/>
              </w:rPr>
            </w:pPr>
            <w:r w:rsidRPr="00BC43C6">
              <w:rPr>
                <w:sz w:val="24"/>
                <w:szCs w:val="24"/>
              </w:rPr>
              <w:t>-0.010***</w:t>
            </w:r>
          </w:p>
        </w:tc>
        <w:tc>
          <w:tcPr>
            <w:tcW w:w="1734" w:type="dxa"/>
            <w:tcBorders>
              <w:bottom w:val="nil"/>
            </w:tcBorders>
            <w:shd w:val="clear" w:color="auto" w:fill="FFFFFF"/>
          </w:tcPr>
          <w:p w:rsidR="00931690" w:rsidRPr="00BC43C6" w:rsidRDefault="00931690" w:rsidP="009721CD">
            <w:pPr>
              <w:ind w:left="425"/>
              <w:rPr>
                <w:sz w:val="24"/>
                <w:szCs w:val="24"/>
              </w:rPr>
            </w:pPr>
            <w:r w:rsidRPr="00BC43C6">
              <w:rPr>
                <w:sz w:val="24"/>
                <w:szCs w:val="24"/>
              </w:rPr>
              <w:t>-3.13</w:t>
            </w:r>
          </w:p>
        </w:tc>
      </w:tr>
      <w:tr w:rsidR="00931690" w:rsidRPr="00BC43C6" w:rsidTr="00127471">
        <w:trPr>
          <w:trHeight w:val="279"/>
        </w:trPr>
        <w:tc>
          <w:tcPr>
            <w:tcW w:w="3710" w:type="dxa"/>
            <w:tcBorders>
              <w:bottom w:val="nil"/>
            </w:tcBorders>
          </w:tcPr>
          <w:p w:rsidR="00931690" w:rsidRPr="00BC43C6" w:rsidRDefault="00931690" w:rsidP="009721CD">
            <w:pPr>
              <w:ind w:left="425"/>
              <w:rPr>
                <w:sz w:val="24"/>
                <w:szCs w:val="24"/>
              </w:rPr>
            </w:pPr>
            <w:r>
              <w:rPr>
                <w:sz w:val="24"/>
                <w:szCs w:val="24"/>
              </w:rPr>
              <w:t>Year fixed effect</w:t>
            </w:r>
          </w:p>
        </w:tc>
        <w:tc>
          <w:tcPr>
            <w:tcW w:w="4228" w:type="dxa"/>
            <w:gridSpan w:val="2"/>
            <w:tcBorders>
              <w:bottom w:val="nil"/>
            </w:tcBorders>
            <w:shd w:val="clear" w:color="auto" w:fill="FFFFFF"/>
          </w:tcPr>
          <w:p w:rsidR="00931690" w:rsidRPr="00BC43C6" w:rsidRDefault="00931690" w:rsidP="009721CD">
            <w:pPr>
              <w:ind w:left="425"/>
              <w:rPr>
                <w:sz w:val="24"/>
                <w:szCs w:val="24"/>
              </w:rPr>
            </w:pPr>
            <w:r>
              <w:rPr>
                <w:sz w:val="24"/>
                <w:szCs w:val="24"/>
              </w:rPr>
              <w:t>Yes</w:t>
            </w:r>
          </w:p>
        </w:tc>
      </w:tr>
      <w:tr w:rsidR="00931690" w:rsidRPr="00BC43C6" w:rsidTr="00127471">
        <w:trPr>
          <w:trHeight w:val="279"/>
        </w:trPr>
        <w:tc>
          <w:tcPr>
            <w:tcW w:w="3710" w:type="dxa"/>
            <w:tcBorders>
              <w:bottom w:val="nil"/>
            </w:tcBorders>
          </w:tcPr>
          <w:p w:rsidR="00931690" w:rsidRPr="00BC43C6" w:rsidRDefault="00931690" w:rsidP="009721CD">
            <w:pPr>
              <w:ind w:left="425"/>
              <w:rPr>
                <w:sz w:val="24"/>
                <w:szCs w:val="24"/>
              </w:rPr>
            </w:pPr>
            <w:r>
              <w:rPr>
                <w:sz w:val="24"/>
                <w:szCs w:val="24"/>
              </w:rPr>
              <w:t>Firm fixed effect</w:t>
            </w:r>
          </w:p>
        </w:tc>
        <w:tc>
          <w:tcPr>
            <w:tcW w:w="4228" w:type="dxa"/>
            <w:gridSpan w:val="2"/>
            <w:tcBorders>
              <w:bottom w:val="nil"/>
            </w:tcBorders>
            <w:shd w:val="clear" w:color="auto" w:fill="FFFFFF"/>
          </w:tcPr>
          <w:p w:rsidR="00931690" w:rsidRPr="00BC43C6" w:rsidRDefault="00931690" w:rsidP="009721CD">
            <w:pPr>
              <w:ind w:left="425"/>
              <w:rPr>
                <w:sz w:val="24"/>
                <w:szCs w:val="24"/>
              </w:rPr>
            </w:pPr>
            <w:r>
              <w:rPr>
                <w:sz w:val="24"/>
                <w:szCs w:val="24"/>
              </w:rPr>
              <w:t>Yes</w:t>
            </w:r>
          </w:p>
        </w:tc>
      </w:tr>
      <w:tr w:rsidR="00931690" w:rsidRPr="00BC43C6" w:rsidTr="00127471">
        <w:trPr>
          <w:trHeight w:val="263"/>
        </w:trPr>
        <w:tc>
          <w:tcPr>
            <w:tcW w:w="3710" w:type="dxa"/>
          </w:tcPr>
          <w:p w:rsidR="00931690" w:rsidRPr="00BC43C6" w:rsidRDefault="00931690" w:rsidP="009721CD">
            <w:pPr>
              <w:ind w:left="425"/>
              <w:rPr>
                <w:sz w:val="24"/>
                <w:szCs w:val="24"/>
              </w:rPr>
            </w:pPr>
            <w:r>
              <w:rPr>
                <w:sz w:val="24"/>
                <w:szCs w:val="24"/>
              </w:rPr>
              <w:t xml:space="preserve">Homogeneity test </w:t>
            </w:r>
            <w:r w:rsidRPr="00A428AC">
              <w:rPr>
                <w:sz w:val="24"/>
                <w:szCs w:val="24"/>
              </w:rPr>
              <w:t>(</w:t>
            </w:r>
            <w:r w:rsidRPr="00A428AC">
              <w:rPr>
                <w:i/>
                <w:sz w:val="24"/>
                <w:szCs w:val="24"/>
              </w:rPr>
              <w:t>p-value</w:t>
            </w:r>
            <w:r w:rsidRPr="00A428AC">
              <w:rPr>
                <w:sz w:val="24"/>
                <w:szCs w:val="24"/>
              </w:rPr>
              <w:t>)</w:t>
            </w:r>
          </w:p>
        </w:tc>
        <w:tc>
          <w:tcPr>
            <w:tcW w:w="4228" w:type="dxa"/>
            <w:gridSpan w:val="2"/>
            <w:shd w:val="clear" w:color="auto" w:fill="FFFFFF"/>
          </w:tcPr>
          <w:p w:rsidR="00931690" w:rsidRPr="00BC43C6" w:rsidRDefault="00931690" w:rsidP="009721CD">
            <w:pPr>
              <w:ind w:left="425"/>
              <w:rPr>
                <w:sz w:val="24"/>
                <w:szCs w:val="24"/>
              </w:rPr>
            </w:pPr>
            <w:r w:rsidRPr="00BC43C6">
              <w:rPr>
                <w:sz w:val="24"/>
                <w:szCs w:val="24"/>
              </w:rPr>
              <w:t>213.78 (0.000)</w:t>
            </w:r>
          </w:p>
        </w:tc>
      </w:tr>
      <w:tr w:rsidR="00931690" w:rsidRPr="00BC43C6" w:rsidTr="00127471">
        <w:trPr>
          <w:trHeight w:val="279"/>
        </w:trPr>
        <w:tc>
          <w:tcPr>
            <w:tcW w:w="3710" w:type="dxa"/>
          </w:tcPr>
          <w:p w:rsidR="00931690" w:rsidRPr="00BC43C6" w:rsidRDefault="00931690" w:rsidP="009721CD">
            <w:pPr>
              <w:ind w:left="425"/>
              <w:rPr>
                <w:sz w:val="24"/>
                <w:szCs w:val="24"/>
              </w:rPr>
            </w:pPr>
            <w:r w:rsidRPr="00A428AC">
              <w:rPr>
                <w:sz w:val="24"/>
                <w:szCs w:val="24"/>
              </w:rPr>
              <w:t>Hausman</w:t>
            </w:r>
            <w:r>
              <w:rPr>
                <w:sz w:val="24"/>
                <w:szCs w:val="24"/>
              </w:rPr>
              <w:t xml:space="preserve"> test</w:t>
            </w:r>
            <w:r w:rsidRPr="00A428AC">
              <w:rPr>
                <w:sz w:val="24"/>
                <w:szCs w:val="24"/>
              </w:rPr>
              <w:t xml:space="preserve"> (</w:t>
            </w:r>
            <w:r w:rsidRPr="00A428AC">
              <w:rPr>
                <w:i/>
                <w:sz w:val="24"/>
                <w:szCs w:val="24"/>
              </w:rPr>
              <w:t>Khi-deux</w:t>
            </w:r>
            <w:r w:rsidRPr="00A428AC">
              <w:rPr>
                <w:sz w:val="24"/>
                <w:szCs w:val="24"/>
              </w:rPr>
              <w:t>)</w:t>
            </w:r>
          </w:p>
        </w:tc>
        <w:tc>
          <w:tcPr>
            <w:tcW w:w="4228" w:type="dxa"/>
            <w:gridSpan w:val="2"/>
            <w:shd w:val="clear" w:color="auto" w:fill="FFFFFF"/>
          </w:tcPr>
          <w:p w:rsidR="00931690" w:rsidRPr="00BC43C6" w:rsidRDefault="00931690" w:rsidP="009721CD">
            <w:pPr>
              <w:ind w:left="425"/>
              <w:rPr>
                <w:sz w:val="24"/>
                <w:szCs w:val="24"/>
              </w:rPr>
            </w:pPr>
            <w:r w:rsidRPr="00BC43C6">
              <w:rPr>
                <w:sz w:val="24"/>
                <w:szCs w:val="24"/>
              </w:rPr>
              <w:t>108.50 (0.000)</w:t>
            </w:r>
          </w:p>
        </w:tc>
      </w:tr>
      <w:tr w:rsidR="00931690" w:rsidRPr="00BC43C6" w:rsidTr="00127471">
        <w:trPr>
          <w:trHeight w:val="263"/>
        </w:trPr>
        <w:tc>
          <w:tcPr>
            <w:tcW w:w="3710" w:type="dxa"/>
          </w:tcPr>
          <w:p w:rsidR="00931690" w:rsidRPr="00BC43C6" w:rsidRDefault="00931690" w:rsidP="009721CD">
            <w:pPr>
              <w:ind w:left="425"/>
              <w:rPr>
                <w:sz w:val="24"/>
                <w:szCs w:val="24"/>
              </w:rPr>
            </w:pPr>
            <w:r w:rsidRPr="00A428AC">
              <w:rPr>
                <w:sz w:val="24"/>
                <w:szCs w:val="24"/>
              </w:rPr>
              <w:t xml:space="preserve">Wald </w:t>
            </w:r>
            <w:r w:rsidRPr="00A428AC">
              <w:rPr>
                <w:i/>
                <w:sz w:val="24"/>
                <w:szCs w:val="24"/>
              </w:rPr>
              <w:t>X</w:t>
            </w:r>
            <w:r w:rsidRPr="00A428AC">
              <w:rPr>
                <w:i/>
                <w:sz w:val="24"/>
                <w:szCs w:val="24"/>
                <w:vertAlign w:val="superscript"/>
              </w:rPr>
              <w:t xml:space="preserve">2 </w:t>
            </w:r>
            <w:r w:rsidRPr="00A428AC">
              <w:rPr>
                <w:sz w:val="24"/>
                <w:szCs w:val="24"/>
              </w:rPr>
              <w:t>(</w:t>
            </w:r>
            <w:r w:rsidRPr="00A428AC">
              <w:rPr>
                <w:i/>
                <w:sz w:val="24"/>
                <w:szCs w:val="24"/>
              </w:rPr>
              <w:t>p-value</w:t>
            </w:r>
            <w:r w:rsidRPr="00A428AC">
              <w:rPr>
                <w:sz w:val="24"/>
                <w:szCs w:val="24"/>
              </w:rPr>
              <w:t>)</w:t>
            </w:r>
          </w:p>
        </w:tc>
        <w:tc>
          <w:tcPr>
            <w:tcW w:w="4228" w:type="dxa"/>
            <w:gridSpan w:val="2"/>
            <w:shd w:val="clear" w:color="auto" w:fill="FFFFFF"/>
          </w:tcPr>
          <w:p w:rsidR="00931690" w:rsidRPr="00BC43C6" w:rsidRDefault="00931690" w:rsidP="009721CD">
            <w:pPr>
              <w:ind w:left="425"/>
              <w:rPr>
                <w:sz w:val="24"/>
                <w:szCs w:val="24"/>
              </w:rPr>
            </w:pPr>
            <w:r w:rsidRPr="00BC43C6">
              <w:rPr>
                <w:sz w:val="24"/>
                <w:szCs w:val="24"/>
              </w:rPr>
              <w:t>2914.13 (0.000)</w:t>
            </w:r>
          </w:p>
        </w:tc>
      </w:tr>
      <w:tr w:rsidR="00931690" w:rsidRPr="00BC43C6" w:rsidTr="00127471">
        <w:trPr>
          <w:trHeight w:val="309"/>
        </w:trPr>
        <w:tc>
          <w:tcPr>
            <w:tcW w:w="3710" w:type="dxa"/>
          </w:tcPr>
          <w:p w:rsidR="00931690" w:rsidRPr="00BC43C6" w:rsidRDefault="00931690" w:rsidP="009721CD">
            <w:pPr>
              <w:ind w:left="425"/>
              <w:rPr>
                <w:sz w:val="24"/>
                <w:szCs w:val="24"/>
              </w:rPr>
            </w:pPr>
            <w:r w:rsidRPr="00A428AC">
              <w:rPr>
                <w:sz w:val="24"/>
                <w:szCs w:val="24"/>
              </w:rPr>
              <w:t>Observations</w:t>
            </w:r>
          </w:p>
        </w:tc>
        <w:tc>
          <w:tcPr>
            <w:tcW w:w="4228" w:type="dxa"/>
            <w:gridSpan w:val="2"/>
            <w:shd w:val="clear" w:color="auto" w:fill="FFFFFF"/>
          </w:tcPr>
          <w:p w:rsidR="00931690" w:rsidRPr="00BC43C6" w:rsidRDefault="00931690" w:rsidP="009721CD">
            <w:pPr>
              <w:ind w:left="425"/>
              <w:rPr>
                <w:sz w:val="24"/>
                <w:szCs w:val="24"/>
              </w:rPr>
            </w:pPr>
            <w:r>
              <w:rPr>
                <w:sz w:val="24"/>
                <w:szCs w:val="24"/>
              </w:rPr>
              <w:t>29,770</w:t>
            </w:r>
          </w:p>
        </w:tc>
      </w:tr>
      <w:tr w:rsidR="00931690" w:rsidRPr="00BC43C6" w:rsidTr="00127471">
        <w:trPr>
          <w:trHeight w:val="263"/>
        </w:trPr>
        <w:tc>
          <w:tcPr>
            <w:tcW w:w="3710" w:type="dxa"/>
          </w:tcPr>
          <w:p w:rsidR="00931690" w:rsidRPr="00BC43C6" w:rsidRDefault="00931690" w:rsidP="009721CD">
            <w:pPr>
              <w:ind w:left="425"/>
              <w:rPr>
                <w:sz w:val="24"/>
                <w:szCs w:val="24"/>
              </w:rPr>
            </w:pPr>
            <w:r w:rsidRPr="00A428AC">
              <w:rPr>
                <w:sz w:val="24"/>
                <w:szCs w:val="24"/>
              </w:rPr>
              <w:t>F statisti</w:t>
            </w:r>
            <w:r>
              <w:rPr>
                <w:sz w:val="24"/>
                <w:szCs w:val="24"/>
              </w:rPr>
              <w:t>c</w:t>
            </w:r>
            <w:r w:rsidRPr="00A428AC">
              <w:rPr>
                <w:i/>
                <w:sz w:val="24"/>
                <w:szCs w:val="24"/>
                <w:vertAlign w:val="superscript"/>
              </w:rPr>
              <w:t xml:space="preserve"> </w:t>
            </w:r>
            <w:r w:rsidRPr="00A428AC">
              <w:rPr>
                <w:i/>
                <w:sz w:val="24"/>
                <w:szCs w:val="24"/>
              </w:rPr>
              <w:t>(p-value)</w:t>
            </w:r>
          </w:p>
        </w:tc>
        <w:tc>
          <w:tcPr>
            <w:tcW w:w="4228" w:type="dxa"/>
            <w:gridSpan w:val="2"/>
            <w:shd w:val="clear" w:color="auto" w:fill="FFFFFF"/>
          </w:tcPr>
          <w:p w:rsidR="00931690" w:rsidRPr="00BC43C6" w:rsidRDefault="00931690" w:rsidP="009721CD">
            <w:pPr>
              <w:ind w:left="425"/>
              <w:rPr>
                <w:sz w:val="24"/>
                <w:szCs w:val="24"/>
              </w:rPr>
            </w:pPr>
            <w:r w:rsidRPr="00BC43C6">
              <w:rPr>
                <w:sz w:val="24"/>
                <w:szCs w:val="24"/>
              </w:rPr>
              <w:t>4.71 (0.000)</w:t>
            </w:r>
          </w:p>
        </w:tc>
      </w:tr>
      <w:tr w:rsidR="00931690" w:rsidRPr="00BC43C6" w:rsidTr="00127471">
        <w:trPr>
          <w:trHeight w:val="279"/>
        </w:trPr>
        <w:tc>
          <w:tcPr>
            <w:tcW w:w="3710" w:type="dxa"/>
          </w:tcPr>
          <w:p w:rsidR="00931690" w:rsidRPr="00BC43C6" w:rsidRDefault="00931690" w:rsidP="009721CD">
            <w:pPr>
              <w:ind w:left="425"/>
              <w:rPr>
                <w:i/>
                <w:sz w:val="24"/>
                <w:szCs w:val="24"/>
                <w:vertAlign w:val="superscript"/>
              </w:rPr>
            </w:pPr>
            <w:r w:rsidRPr="00A428AC">
              <w:rPr>
                <w:i/>
                <w:sz w:val="24"/>
                <w:szCs w:val="24"/>
              </w:rPr>
              <w:t>R</w:t>
            </w:r>
            <w:r w:rsidRPr="00A428AC">
              <w:rPr>
                <w:i/>
                <w:sz w:val="24"/>
                <w:szCs w:val="24"/>
                <w:vertAlign w:val="superscript"/>
              </w:rPr>
              <w:t>2</w:t>
            </w:r>
          </w:p>
        </w:tc>
        <w:tc>
          <w:tcPr>
            <w:tcW w:w="4228" w:type="dxa"/>
            <w:gridSpan w:val="2"/>
            <w:shd w:val="clear" w:color="auto" w:fill="FFFFFF"/>
          </w:tcPr>
          <w:p w:rsidR="00931690" w:rsidRPr="00BC43C6" w:rsidRDefault="00931690" w:rsidP="009721CD">
            <w:pPr>
              <w:ind w:left="425"/>
              <w:rPr>
                <w:sz w:val="24"/>
                <w:szCs w:val="24"/>
              </w:rPr>
            </w:pPr>
            <w:r w:rsidRPr="00BC43C6">
              <w:rPr>
                <w:sz w:val="24"/>
                <w:szCs w:val="24"/>
              </w:rPr>
              <w:t>0.46</w:t>
            </w:r>
          </w:p>
        </w:tc>
      </w:tr>
    </w:tbl>
    <w:p w:rsidR="004F7DB6" w:rsidRPr="004F7DB6" w:rsidRDefault="004F7DB6" w:rsidP="004F7DB6">
      <w:pPr>
        <w:ind w:left="425" w:rightChars="845" w:right="1859"/>
        <w:contextualSpacing/>
        <w:jc w:val="both"/>
        <w:rPr>
          <w:sz w:val="24"/>
          <w:szCs w:val="24"/>
        </w:rPr>
      </w:pPr>
      <w:r w:rsidRPr="00B97E34">
        <w:rPr>
          <w:b/>
          <w:sz w:val="18"/>
          <w:szCs w:val="24"/>
        </w:rPr>
        <w:t>Note(s</w:t>
      </w:r>
      <w:proofErr w:type="gramStart"/>
      <w:r w:rsidRPr="00B97E34">
        <w:rPr>
          <w:b/>
          <w:sz w:val="18"/>
          <w:szCs w:val="24"/>
        </w:rPr>
        <w:t>):</w:t>
      </w:r>
      <w:proofErr w:type="gramEnd"/>
      <w:r w:rsidRPr="00B97E34">
        <w:rPr>
          <w:b/>
          <w:sz w:val="18"/>
          <w:szCs w:val="24"/>
        </w:rPr>
        <w:t xml:space="preserve"> </w:t>
      </w:r>
      <w:r w:rsidRPr="00B97E34">
        <w:rPr>
          <w:sz w:val="18"/>
          <w:szCs w:val="24"/>
        </w:rPr>
        <w:t xml:space="preserve">This table presents the results of the linear regressions of our model. The year and company indicators are included in the model, but their coefficients are not presented in this table. The measures of the variables are summarized in Table </w:t>
      </w:r>
      <w:r>
        <w:rPr>
          <w:sz w:val="18"/>
          <w:szCs w:val="24"/>
        </w:rPr>
        <w:t>2</w:t>
      </w:r>
      <w:r w:rsidRPr="00B97E34">
        <w:rPr>
          <w:sz w:val="18"/>
          <w:szCs w:val="24"/>
        </w:rPr>
        <w:t>. The t-statistics are based on pooled standard errors at the firm level. Year, sector and country indicators are included in our models, but their coefficients are not shown in this table.</w:t>
      </w:r>
    </w:p>
    <w:p w:rsidR="004F7DB6" w:rsidRDefault="004F7DB6" w:rsidP="004F7DB6">
      <w:pPr>
        <w:ind w:left="425"/>
        <w:rPr>
          <w:sz w:val="18"/>
          <w:szCs w:val="24"/>
        </w:rPr>
      </w:pPr>
      <w:r w:rsidRPr="00B97E34">
        <w:rPr>
          <w:sz w:val="18"/>
          <w:szCs w:val="24"/>
        </w:rPr>
        <w:t>*, **, *** Significance at p &lt; 0.01; p &lt; 0.05; and p &lt; 0.10, respectively.</w:t>
      </w:r>
    </w:p>
    <w:p w:rsidR="00931690" w:rsidRDefault="004F7DB6" w:rsidP="004F7DB6">
      <w:pPr>
        <w:spacing w:line="360" w:lineRule="auto"/>
        <w:ind w:left="425"/>
        <w:rPr>
          <w:rFonts w:asciiTheme="majorBidi" w:hAnsiTheme="majorBidi" w:cstheme="majorBidi"/>
          <w:b/>
          <w:bCs/>
          <w:sz w:val="24"/>
          <w:szCs w:val="24"/>
        </w:rPr>
      </w:pPr>
      <w:proofErr w:type="gramStart"/>
      <w:r w:rsidRPr="00641D5C">
        <w:rPr>
          <w:b/>
          <w:sz w:val="18"/>
          <w:szCs w:val="18"/>
        </w:rPr>
        <w:t>Source:</w:t>
      </w:r>
      <w:proofErr w:type="gramEnd"/>
      <w:r w:rsidRPr="00641D5C">
        <w:rPr>
          <w:sz w:val="18"/>
          <w:szCs w:val="18"/>
        </w:rPr>
        <w:t xml:space="preserve"> Authors’ own work</w:t>
      </w:r>
    </w:p>
    <w:p w:rsidR="004F7DB6" w:rsidRDefault="004F7DB6" w:rsidP="004F7DB6">
      <w:pPr>
        <w:spacing w:line="360" w:lineRule="auto"/>
        <w:ind w:left="425"/>
        <w:rPr>
          <w:rFonts w:asciiTheme="majorBidi" w:hAnsiTheme="majorBidi" w:cstheme="majorBidi"/>
          <w:b/>
          <w:bCs/>
          <w:sz w:val="24"/>
          <w:szCs w:val="24"/>
        </w:rPr>
      </w:pPr>
    </w:p>
    <w:p w:rsidR="00931690" w:rsidRPr="00B177B4" w:rsidRDefault="00931690" w:rsidP="004772DE">
      <w:pPr>
        <w:ind w:left="1145" w:hanging="357"/>
        <w:contextualSpacing/>
        <w:outlineLvl w:val="0"/>
        <w:rPr>
          <w:rFonts w:asciiTheme="majorBidi" w:hAnsiTheme="majorBidi" w:cstheme="majorBidi"/>
          <w:b/>
          <w:bCs/>
          <w:sz w:val="24"/>
          <w:szCs w:val="24"/>
        </w:rPr>
      </w:pPr>
      <w:r w:rsidRPr="00B177B4">
        <w:rPr>
          <w:rFonts w:asciiTheme="majorBidi" w:hAnsiTheme="majorBidi" w:cstheme="majorBidi"/>
          <w:b/>
          <w:bCs/>
          <w:sz w:val="24"/>
          <w:szCs w:val="24"/>
        </w:rPr>
        <w:t>5. Robustness checks</w:t>
      </w:r>
    </w:p>
    <w:p w:rsidR="004772DE" w:rsidRDefault="004772DE" w:rsidP="000072B8">
      <w:pPr>
        <w:ind w:left="425" w:rightChars="845" w:right="1859"/>
        <w:contextualSpacing/>
        <w:jc w:val="both"/>
        <w:rPr>
          <w:sz w:val="24"/>
          <w:szCs w:val="24"/>
        </w:rPr>
      </w:pPr>
    </w:p>
    <w:p w:rsidR="004F7DB6" w:rsidRDefault="00931690" w:rsidP="004F7DB6">
      <w:pPr>
        <w:ind w:left="425" w:rightChars="845" w:right="1859"/>
        <w:contextualSpacing/>
        <w:jc w:val="both"/>
        <w:rPr>
          <w:sz w:val="24"/>
          <w:szCs w:val="24"/>
        </w:rPr>
      </w:pPr>
      <w:r w:rsidRPr="00B177B4">
        <w:rPr>
          <w:sz w:val="24"/>
          <w:szCs w:val="24"/>
        </w:rPr>
        <w:t>To examine the robustness of our results, we carry out an additional analysis. Our additional analyses relate to</w:t>
      </w:r>
      <w:r>
        <w:rPr>
          <w:sz w:val="24"/>
          <w:szCs w:val="24"/>
        </w:rPr>
        <w:t xml:space="preserve"> a</w:t>
      </w:r>
      <w:r w:rsidRPr="00B177B4">
        <w:rPr>
          <w:sz w:val="24"/>
          <w:szCs w:val="24"/>
        </w:rPr>
        <w:t xml:space="preserve">lternate measures of </w:t>
      </w:r>
      <w:r>
        <w:rPr>
          <w:sz w:val="24"/>
          <w:szCs w:val="24"/>
        </w:rPr>
        <w:t xml:space="preserve">the </w:t>
      </w:r>
      <w:r w:rsidRPr="00B177B4">
        <w:rPr>
          <w:sz w:val="24"/>
          <w:szCs w:val="24"/>
        </w:rPr>
        <w:t>dependent variable “</w:t>
      </w:r>
      <w:r>
        <w:rPr>
          <w:sz w:val="24"/>
          <w:szCs w:val="24"/>
        </w:rPr>
        <w:t>Cash_ETR</w:t>
      </w:r>
      <w:r w:rsidRPr="00B177B4">
        <w:rPr>
          <w:sz w:val="24"/>
          <w:szCs w:val="24"/>
        </w:rPr>
        <w:t>”.</w:t>
      </w:r>
    </w:p>
    <w:p w:rsidR="00931690" w:rsidRDefault="00931690" w:rsidP="000072B8">
      <w:pPr>
        <w:ind w:left="425" w:rightChars="845" w:right="1859"/>
        <w:contextualSpacing/>
        <w:jc w:val="both"/>
        <w:rPr>
          <w:rFonts w:asciiTheme="majorBidi" w:hAnsiTheme="majorBidi" w:cstheme="majorBidi"/>
          <w:sz w:val="24"/>
          <w:szCs w:val="24"/>
        </w:rPr>
      </w:pPr>
      <w:r w:rsidRPr="00E315BC">
        <w:rPr>
          <w:rFonts w:asciiTheme="majorBidi" w:hAnsiTheme="majorBidi" w:cstheme="majorBidi"/>
          <w:sz w:val="24"/>
          <w:szCs w:val="24"/>
        </w:rPr>
        <w:t xml:space="preserve">To ensure the reliability and robustness of our results, we employ alternative measures of tax avoidance as robustness checks. Consistent with prior studies (Dyreng </w:t>
      </w:r>
      <w:r>
        <w:rPr>
          <w:rFonts w:asciiTheme="majorBidi" w:hAnsiTheme="majorBidi" w:cstheme="majorBidi"/>
          <w:sz w:val="24"/>
          <w:szCs w:val="24"/>
        </w:rPr>
        <w:t>and</w:t>
      </w:r>
      <w:r w:rsidRPr="00E315BC">
        <w:rPr>
          <w:rFonts w:asciiTheme="majorBidi" w:hAnsiTheme="majorBidi" w:cstheme="majorBidi"/>
          <w:sz w:val="24"/>
          <w:szCs w:val="24"/>
        </w:rPr>
        <w:t xml:space="preserve"> Hanlon, 2010), we use the Cash Effective Tax Rate (Cash ETR) as an alternative measure of tax avoidance. Kovermann and Velte (2021) state that the Cash ETR is considered less susceptible to </w:t>
      </w:r>
      <w:r>
        <w:rPr>
          <w:rFonts w:asciiTheme="majorBidi" w:hAnsiTheme="majorBidi" w:cstheme="majorBidi"/>
          <w:sz w:val="24"/>
          <w:szCs w:val="24"/>
        </w:rPr>
        <w:t>tax avoidance</w:t>
      </w:r>
      <w:r w:rsidRPr="00E315BC">
        <w:rPr>
          <w:rFonts w:asciiTheme="majorBidi" w:hAnsiTheme="majorBidi" w:cstheme="majorBidi"/>
          <w:sz w:val="24"/>
          <w:szCs w:val="24"/>
        </w:rPr>
        <w:t xml:space="preserve">, leading to a more reliable measure. Following these previous studies, we use the Cash ETR as </w:t>
      </w:r>
      <w:proofErr w:type="gramStart"/>
      <w:r w:rsidRPr="00E315BC">
        <w:rPr>
          <w:rFonts w:asciiTheme="majorBidi" w:hAnsiTheme="majorBidi" w:cstheme="majorBidi"/>
          <w:sz w:val="24"/>
          <w:szCs w:val="24"/>
        </w:rPr>
        <w:t>a</w:t>
      </w:r>
      <w:proofErr w:type="gramEnd"/>
      <w:r w:rsidRPr="00E315BC">
        <w:rPr>
          <w:rFonts w:asciiTheme="majorBidi" w:hAnsiTheme="majorBidi" w:cstheme="majorBidi"/>
          <w:sz w:val="24"/>
          <w:szCs w:val="24"/>
        </w:rPr>
        <w:t xml:space="preserve"> proxy to capture tax avoidance. The Cash ETR is defined as the ratio of cash taxes paid to pre-tax book income (Dyreng et al., 2008).</w:t>
      </w:r>
    </w:p>
    <w:p w:rsidR="00931690" w:rsidRDefault="00931690" w:rsidP="000072B8">
      <w:pPr>
        <w:ind w:left="425" w:rightChars="845" w:right="1859"/>
        <w:contextualSpacing/>
        <w:jc w:val="both"/>
        <w:rPr>
          <w:rFonts w:asciiTheme="majorBidi" w:hAnsiTheme="majorBidi" w:cstheme="majorBidi"/>
          <w:sz w:val="24"/>
          <w:szCs w:val="24"/>
        </w:rPr>
      </w:pPr>
      <w:r w:rsidRPr="00E315BC">
        <w:rPr>
          <w:rFonts w:asciiTheme="majorBidi" w:hAnsiTheme="majorBidi" w:cstheme="majorBidi"/>
          <w:sz w:val="24"/>
          <w:szCs w:val="24"/>
        </w:rPr>
        <w:t>Based on prior accounting research on tax avoidance, two conditions are considered when calculating the Cash ETR. First, similar to Richardson and Lanis (2007) and Hasan et al. (2014), Cash ETR values are treated as missing when the denominator (pre-tax income) is zero or negative. Additionally, Zimmerman (1983) and Goh et al. (2016) state that firms with negative income should b</w:t>
      </w:r>
      <w:r>
        <w:rPr>
          <w:rFonts w:asciiTheme="majorBidi" w:hAnsiTheme="majorBidi" w:cstheme="majorBidi"/>
          <w:sz w:val="24"/>
          <w:szCs w:val="24"/>
        </w:rPr>
        <w:t>e excluded since their Cash ETR</w:t>
      </w:r>
      <w:r w:rsidRPr="00E315BC">
        <w:rPr>
          <w:rFonts w:asciiTheme="majorBidi" w:hAnsiTheme="majorBidi" w:cstheme="majorBidi"/>
          <w:sz w:val="24"/>
          <w:szCs w:val="24"/>
        </w:rPr>
        <w:t xml:space="preserve"> are distorted. Second, firms with Cash ETR values exceeding 1 are excluded, as this may lead to model estimation issues (Richardson </w:t>
      </w:r>
      <w:r>
        <w:rPr>
          <w:rFonts w:asciiTheme="majorBidi" w:hAnsiTheme="majorBidi" w:cstheme="majorBidi"/>
          <w:sz w:val="24"/>
          <w:szCs w:val="24"/>
        </w:rPr>
        <w:t xml:space="preserve">and </w:t>
      </w:r>
      <w:r w:rsidRPr="00E315BC">
        <w:rPr>
          <w:rFonts w:asciiTheme="majorBidi" w:hAnsiTheme="majorBidi" w:cstheme="majorBidi"/>
          <w:sz w:val="24"/>
          <w:szCs w:val="24"/>
        </w:rPr>
        <w:t>Lanis, 2007).</w:t>
      </w:r>
      <w:r>
        <w:rPr>
          <w:rFonts w:asciiTheme="majorBidi" w:hAnsiTheme="majorBidi" w:cstheme="majorBidi"/>
          <w:sz w:val="24"/>
          <w:szCs w:val="24"/>
        </w:rPr>
        <w:t xml:space="preserve"> </w:t>
      </w:r>
      <w:r w:rsidRPr="00E315BC">
        <w:rPr>
          <w:rFonts w:asciiTheme="majorBidi" w:hAnsiTheme="majorBidi" w:cstheme="majorBidi"/>
          <w:sz w:val="24"/>
          <w:szCs w:val="24"/>
        </w:rPr>
        <w:t xml:space="preserve">Furthermore, it is important to note that the Cash ETR represents an inverse function of tax avoidance (Gaaya et al., 2017). To facilitate interpretation, Cash ETR values are multiplied by (-1). Thus, higher values indicate higher levels of tax avoidance (Goh et al., </w:t>
      </w:r>
      <w:proofErr w:type="gramStart"/>
      <w:r w:rsidRPr="00E315BC">
        <w:rPr>
          <w:rFonts w:asciiTheme="majorBidi" w:hAnsiTheme="majorBidi" w:cstheme="majorBidi"/>
          <w:sz w:val="24"/>
          <w:szCs w:val="24"/>
        </w:rPr>
        <w:t>2016;</w:t>
      </w:r>
      <w:proofErr w:type="gramEnd"/>
      <w:r w:rsidRPr="00E315BC">
        <w:rPr>
          <w:rFonts w:asciiTheme="majorBidi" w:hAnsiTheme="majorBidi" w:cstheme="majorBidi"/>
          <w:sz w:val="24"/>
          <w:szCs w:val="24"/>
        </w:rPr>
        <w:t xml:space="preserve"> Cen et al., 2017; Kovermann, 2018).</w:t>
      </w:r>
      <w:r>
        <w:rPr>
          <w:rFonts w:asciiTheme="majorBidi" w:hAnsiTheme="majorBidi" w:cstheme="majorBidi"/>
          <w:sz w:val="24"/>
          <w:szCs w:val="24"/>
        </w:rPr>
        <w:t xml:space="preserve"> </w:t>
      </w:r>
    </w:p>
    <w:p w:rsidR="00931690" w:rsidRPr="00FD5A14" w:rsidRDefault="00931690" w:rsidP="000072B8">
      <w:pPr>
        <w:ind w:left="425" w:rightChars="845" w:right="1859"/>
        <w:contextualSpacing/>
        <w:jc w:val="both"/>
        <w:rPr>
          <w:rFonts w:asciiTheme="majorBidi" w:hAnsiTheme="majorBidi" w:cstheme="majorBidi"/>
          <w:sz w:val="24"/>
          <w:szCs w:val="24"/>
        </w:rPr>
      </w:pPr>
      <w:r w:rsidRPr="00E315BC">
        <w:rPr>
          <w:rFonts w:asciiTheme="majorBidi" w:hAnsiTheme="majorBidi" w:cstheme="majorBidi"/>
          <w:sz w:val="24"/>
          <w:szCs w:val="24"/>
        </w:rPr>
        <w:lastRenderedPageBreak/>
        <w:t xml:space="preserve">We have identified </w:t>
      </w:r>
      <w:r>
        <w:rPr>
          <w:rFonts w:asciiTheme="majorBidi" w:hAnsiTheme="majorBidi" w:cstheme="majorBidi"/>
          <w:sz w:val="24"/>
          <w:szCs w:val="24"/>
        </w:rPr>
        <w:t>the</w:t>
      </w:r>
      <w:r w:rsidRPr="00E315BC">
        <w:rPr>
          <w:rFonts w:asciiTheme="majorBidi" w:hAnsiTheme="majorBidi" w:cstheme="majorBidi"/>
          <w:sz w:val="24"/>
          <w:szCs w:val="24"/>
        </w:rPr>
        <w:t xml:space="preserve"> ec</w:t>
      </w:r>
      <w:r>
        <w:rPr>
          <w:rFonts w:asciiTheme="majorBidi" w:hAnsiTheme="majorBidi" w:cstheme="majorBidi"/>
          <w:sz w:val="24"/>
          <w:szCs w:val="24"/>
        </w:rPr>
        <w:t>onometric model for estimation.</w:t>
      </w:r>
    </w:p>
    <w:p w:rsidR="00931690" w:rsidRPr="000C28C0" w:rsidRDefault="00A45EC9" w:rsidP="000072B8">
      <w:pPr>
        <w:adjustRightInd w:val="0"/>
        <w:ind w:left="425" w:rightChars="845" w:right="1859"/>
        <w:contextualSpacing/>
        <w:jc w:val="both"/>
        <w:rPr>
          <w:sz w:val="24"/>
          <w:szCs w:val="24"/>
        </w:rPr>
      </w:pPr>
      <m:oMathPara>
        <m:oMath>
          <m:eqArr>
            <m:eqArrPr>
              <m:ctrlPr>
                <w:rPr>
                  <w:rFonts w:ascii="Cambria Math" w:hAnsi="Cambria Math"/>
                  <w:sz w:val="24"/>
                  <w:szCs w:val="24"/>
                </w:rPr>
              </m:ctrlPr>
            </m:eqArrPr>
            <m:e>
              <m:r>
                <w:rPr>
                  <w:rFonts w:ascii="Cambria Math" w:hAnsi="Cambria Math"/>
                  <w:sz w:val="24"/>
                  <w:szCs w:val="24"/>
                </w:rPr>
                <m:t>CASH_ET</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1</m:t>
                  </m:r>
                </m:sub>
              </m:sSub>
              <m:r>
                <w:rPr>
                  <w:rFonts w:ascii="Cambria Math" w:hAnsi="Cambria Math"/>
                  <w:sz w:val="24"/>
                  <w:szCs w:val="24"/>
                </w:rPr>
                <m:t>CE</m:t>
              </m:r>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2</m:t>
                  </m:r>
                </m:sub>
              </m:sSub>
              <m:r>
                <w:rPr>
                  <w:rFonts w:ascii="Cambria Math" w:hAnsi="Cambria Math"/>
                  <w:sz w:val="24"/>
                  <w:szCs w:val="24"/>
                </w:rPr>
                <m:t>FIRM_LE</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3</m:t>
                  </m:r>
                </m:sub>
              </m:sSub>
              <m:r>
                <w:rPr>
                  <w:rFonts w:ascii="Cambria Math" w:hAnsi="Cambria Math"/>
                  <w:sz w:val="24"/>
                  <w:szCs w:val="24"/>
                </w:rPr>
                <m:t>FIRM_SIZ</m:t>
              </m:r>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4</m:t>
                  </m:r>
                </m:sub>
              </m:sSub>
              <m:r>
                <w:rPr>
                  <w:rFonts w:ascii="Cambria Math" w:hAnsi="Cambria Math"/>
                  <w:sz w:val="24"/>
                  <w:szCs w:val="24"/>
                </w:rPr>
                <m:t>RO</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i,t</m:t>
                  </m:r>
                </m:sub>
              </m:sSub>
            </m:e>
            <m:e>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5</m:t>
                  </m:r>
                </m:sub>
              </m:sSub>
              <m:r>
                <w:rPr>
                  <w:rFonts w:ascii="Cambria Math" w:hAnsi="Cambria Math"/>
                  <w:sz w:val="24"/>
                  <w:szCs w:val="24"/>
                </w:rPr>
                <m:t>PP</m:t>
              </m:r>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6</m:t>
                  </m:r>
                </m:sub>
              </m:sSub>
              <m:r>
                <w:rPr>
                  <w:rFonts w:ascii="Cambria Math" w:hAnsi="Cambria Math"/>
                  <w:sz w:val="24"/>
                  <w:szCs w:val="24"/>
                </w:rPr>
                <m:t>C</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7</m:t>
                  </m:r>
                </m:sub>
              </m:sSub>
              <m:r>
                <w:rPr>
                  <w:rFonts w:ascii="Cambria Math" w:hAnsi="Cambria Math"/>
                  <w:sz w:val="24"/>
                  <w:szCs w:val="24"/>
                </w:rPr>
                <m:t>MT</m:t>
              </m:r>
              <m:sSub>
                <m:sSubPr>
                  <m:ctrlPr>
                    <w:rPr>
                      <w:rFonts w:ascii="Cambria Math" w:hAnsi="Cambria Math"/>
                      <w:sz w:val="24"/>
                      <w:szCs w:val="24"/>
                    </w:rPr>
                  </m:ctrlPr>
                </m:sSubPr>
                <m:e>
                  <m:r>
                    <w:rPr>
                      <w:rFonts w:ascii="Cambria Math" w:hAnsi="Cambria Math"/>
                      <w:sz w:val="24"/>
                      <w:szCs w:val="24"/>
                    </w:rPr>
                    <m:t>B</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8</m:t>
                  </m:r>
                </m:sub>
              </m:sSub>
              <m:r>
                <w:rPr>
                  <w:rFonts w:ascii="Cambria Math" w:hAnsi="Cambria Math"/>
                  <w:sz w:val="24"/>
                  <w:szCs w:val="24"/>
                </w:rPr>
                <m:t>LEG_SY</m:t>
              </m:r>
              <m:sSub>
                <m:sSubPr>
                  <m:ctrlPr>
                    <w:rPr>
                      <w:rFonts w:ascii="Cambria Math" w:hAnsi="Cambria Math"/>
                      <w:sz w:val="24"/>
                      <w:szCs w:val="24"/>
                    </w:rPr>
                  </m:ctrlPr>
                </m:sSubPr>
                <m:e>
                  <m:r>
                    <w:rPr>
                      <w:rFonts w:ascii="Cambria Math" w:hAnsi="Cambria Math"/>
                      <w:sz w:val="24"/>
                      <w:szCs w:val="24"/>
                    </w:rPr>
                    <m:t>S</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β</m:t>
                  </m:r>
                </m:e>
                <m:sub>
                  <m:r>
                    <w:rPr>
                      <w:rFonts w:ascii="Cambria Math" w:hAnsi="Cambria Math"/>
                      <w:sz w:val="24"/>
                      <w:szCs w:val="24"/>
                    </w:rPr>
                    <m:t>9</m:t>
                  </m:r>
                </m:sub>
              </m:sSub>
              <m:r>
                <w:rPr>
                  <w:rFonts w:ascii="Cambria Math" w:hAnsi="Cambria Math"/>
                  <w:sz w:val="24"/>
                  <w:szCs w:val="24"/>
                </w:rPr>
                <m:t>COVID_</m:t>
              </m:r>
              <m:sSub>
                <m:sSubPr>
                  <m:ctrlPr>
                    <w:rPr>
                      <w:rFonts w:ascii="Cambria Math" w:hAnsi="Cambria Math"/>
                      <w:sz w:val="24"/>
                      <w:szCs w:val="24"/>
                    </w:rPr>
                  </m:ctrlPr>
                </m:sSubPr>
                <m:e>
                  <m:r>
                    <w:rPr>
                      <w:rFonts w:ascii="Cambria Math" w:hAnsi="Cambria Math"/>
                      <w:sz w:val="24"/>
                      <w:szCs w:val="24"/>
                    </w:rPr>
                    <m:t>19</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ε</m:t>
                  </m:r>
                </m:e>
                <m:sub>
                  <m:r>
                    <w:rPr>
                      <w:rFonts w:ascii="Cambria Math" w:hAnsi="Cambria Math"/>
                      <w:sz w:val="24"/>
                      <w:szCs w:val="24"/>
                    </w:rPr>
                    <m:t>i,t</m:t>
                  </m:r>
                </m:sub>
              </m:sSub>
              <m:r>
                <w:rPr>
                  <w:rFonts w:ascii="Cambria Math" w:hAnsi="Cambria Math"/>
                  <w:sz w:val="24"/>
                  <w:szCs w:val="24"/>
                </w:rPr>
                <m:t>(2)</m:t>
              </m:r>
            </m:e>
          </m:eqArr>
        </m:oMath>
      </m:oMathPara>
    </w:p>
    <w:p w:rsidR="00931690" w:rsidRPr="000C28C0" w:rsidRDefault="00931690" w:rsidP="000072B8">
      <w:pPr>
        <w:adjustRightInd w:val="0"/>
        <w:ind w:left="425" w:rightChars="845" w:right="1859"/>
        <w:contextualSpacing/>
        <w:jc w:val="both"/>
        <w:rPr>
          <w:sz w:val="24"/>
          <w:szCs w:val="24"/>
        </w:rPr>
      </w:pPr>
    </w:p>
    <w:p w:rsidR="00965AE4" w:rsidRDefault="00931690" w:rsidP="00965AE4">
      <w:pPr>
        <w:adjustRightInd w:val="0"/>
        <w:ind w:left="425" w:rightChars="845" w:right="1859"/>
        <w:contextualSpacing/>
        <w:jc w:val="both"/>
        <w:rPr>
          <w:rFonts w:asciiTheme="majorBidi" w:hAnsiTheme="majorBidi" w:cstheme="majorBidi"/>
          <w:sz w:val="24"/>
          <w:szCs w:val="24"/>
        </w:rPr>
      </w:pPr>
      <w:r w:rsidRPr="00E315BC">
        <w:rPr>
          <w:rFonts w:asciiTheme="majorBidi" w:hAnsiTheme="majorBidi" w:cstheme="majorBidi"/>
          <w:sz w:val="24"/>
          <w:szCs w:val="24"/>
        </w:rPr>
        <w:t xml:space="preserve">Table </w:t>
      </w:r>
      <w:r>
        <w:rPr>
          <w:rFonts w:asciiTheme="majorBidi" w:hAnsiTheme="majorBidi" w:cstheme="majorBidi"/>
          <w:sz w:val="24"/>
          <w:szCs w:val="24"/>
        </w:rPr>
        <w:t xml:space="preserve">6 </w:t>
      </w:r>
      <w:r w:rsidRPr="00E315BC">
        <w:rPr>
          <w:rFonts w:asciiTheme="majorBidi" w:hAnsiTheme="majorBidi" w:cstheme="majorBidi"/>
          <w:sz w:val="24"/>
          <w:szCs w:val="24"/>
        </w:rPr>
        <w:t xml:space="preserve">presents the results of the relationship between </w:t>
      </w:r>
      <w:r>
        <w:rPr>
          <w:rFonts w:asciiTheme="majorBidi" w:hAnsiTheme="majorBidi" w:cstheme="majorBidi"/>
          <w:sz w:val="24"/>
          <w:szCs w:val="24"/>
        </w:rPr>
        <w:t>environmental transparency</w:t>
      </w:r>
      <w:r w:rsidRPr="00E315BC">
        <w:rPr>
          <w:rFonts w:asciiTheme="majorBidi" w:hAnsiTheme="majorBidi" w:cstheme="majorBidi"/>
          <w:sz w:val="24"/>
          <w:szCs w:val="24"/>
        </w:rPr>
        <w:t xml:space="preserve"> exam</w:t>
      </w:r>
      <w:r>
        <w:rPr>
          <w:rFonts w:asciiTheme="majorBidi" w:hAnsiTheme="majorBidi" w:cstheme="majorBidi"/>
          <w:sz w:val="24"/>
          <w:szCs w:val="24"/>
        </w:rPr>
        <w:t>ined in our study and Cash ETR.</w:t>
      </w:r>
      <w:r w:rsidR="00965AE4">
        <w:rPr>
          <w:rFonts w:asciiTheme="majorBidi" w:hAnsiTheme="majorBidi" w:cstheme="majorBidi"/>
          <w:sz w:val="24"/>
          <w:szCs w:val="24"/>
        </w:rPr>
        <w:t xml:space="preserve"> </w:t>
      </w:r>
    </w:p>
    <w:p w:rsidR="000072B8" w:rsidRDefault="000072B8" w:rsidP="009721CD">
      <w:pPr>
        <w:adjustRightInd w:val="0"/>
        <w:spacing w:line="360" w:lineRule="auto"/>
        <w:ind w:left="425" w:firstLine="227"/>
        <w:rPr>
          <w:rFonts w:asciiTheme="majorBidi" w:hAnsiTheme="majorBidi" w:cstheme="majorBidi"/>
          <w:sz w:val="24"/>
          <w:szCs w:val="24"/>
        </w:rPr>
      </w:pPr>
    </w:p>
    <w:p w:rsidR="00931690" w:rsidRDefault="00931690" w:rsidP="00725764">
      <w:pPr>
        <w:adjustRightInd w:val="0"/>
        <w:spacing w:line="360" w:lineRule="auto"/>
        <w:ind w:left="425" w:firstLine="227"/>
        <w:rPr>
          <w:rFonts w:asciiTheme="majorBidi" w:hAnsiTheme="majorBidi" w:cstheme="majorBidi"/>
          <w:sz w:val="24"/>
          <w:szCs w:val="24"/>
        </w:rPr>
      </w:pPr>
      <w:r>
        <w:rPr>
          <w:b/>
          <w:bCs/>
          <w:iCs/>
          <w:sz w:val="24"/>
          <w:szCs w:val="24"/>
        </w:rPr>
        <w:t xml:space="preserve">Table 6. </w:t>
      </w:r>
      <w:r w:rsidRPr="00182BE6">
        <w:rPr>
          <w:bCs/>
          <w:iCs/>
          <w:sz w:val="24"/>
          <w:szCs w:val="24"/>
        </w:rPr>
        <w:t>Alternative measure</w:t>
      </w:r>
    </w:p>
    <w:tbl>
      <w:tblPr>
        <w:tblW w:w="8786" w:type="dxa"/>
        <w:tblLayout w:type="fixed"/>
        <w:tblLook w:val="04A0" w:firstRow="1" w:lastRow="0" w:firstColumn="1" w:lastColumn="0" w:noHBand="0" w:noVBand="1"/>
      </w:tblPr>
      <w:tblGrid>
        <w:gridCol w:w="4205"/>
        <w:gridCol w:w="2094"/>
        <w:gridCol w:w="2487"/>
      </w:tblGrid>
      <w:tr w:rsidR="00931690" w:rsidRPr="00BC43C6" w:rsidTr="00931690">
        <w:trPr>
          <w:trHeight w:val="248"/>
        </w:trPr>
        <w:tc>
          <w:tcPr>
            <w:tcW w:w="4205" w:type="dxa"/>
            <w:tcBorders>
              <w:left w:val="nil"/>
              <w:bottom w:val="single" w:sz="4" w:space="0" w:color="auto"/>
              <w:right w:val="nil"/>
            </w:tcBorders>
          </w:tcPr>
          <w:p w:rsidR="00931690" w:rsidRPr="00DE3719" w:rsidRDefault="00931690" w:rsidP="009721CD">
            <w:pPr>
              <w:adjustRightInd w:val="0"/>
              <w:ind w:left="425"/>
              <w:rPr>
                <w:b/>
                <w:bCs/>
                <w:iCs/>
                <w:sz w:val="24"/>
                <w:szCs w:val="24"/>
              </w:rPr>
            </w:pPr>
          </w:p>
        </w:tc>
        <w:tc>
          <w:tcPr>
            <w:tcW w:w="4581" w:type="dxa"/>
            <w:gridSpan w:val="2"/>
            <w:tcBorders>
              <w:left w:val="nil"/>
              <w:bottom w:val="single" w:sz="4" w:space="0" w:color="auto"/>
              <w:right w:val="nil"/>
            </w:tcBorders>
          </w:tcPr>
          <w:p w:rsidR="00931690" w:rsidRPr="00DE3719" w:rsidRDefault="00931690" w:rsidP="009721CD">
            <w:pPr>
              <w:adjustRightInd w:val="0"/>
              <w:ind w:left="425"/>
              <w:rPr>
                <w:b/>
                <w:bCs/>
                <w:iCs/>
                <w:sz w:val="24"/>
                <w:szCs w:val="24"/>
              </w:rPr>
            </w:pPr>
            <w:r w:rsidRPr="00DE3719">
              <w:rPr>
                <w:b/>
                <w:bCs/>
                <w:iCs/>
                <w:sz w:val="24"/>
                <w:szCs w:val="24"/>
              </w:rPr>
              <w:t>Model (</w:t>
            </w:r>
            <w:r>
              <w:rPr>
                <w:b/>
                <w:bCs/>
                <w:iCs/>
                <w:sz w:val="24"/>
                <w:szCs w:val="24"/>
              </w:rPr>
              <w:t>2</w:t>
            </w:r>
            <w:r w:rsidRPr="00DE3719">
              <w:rPr>
                <w:b/>
                <w:bCs/>
                <w:iCs/>
                <w:sz w:val="24"/>
                <w:szCs w:val="24"/>
              </w:rPr>
              <w:t>)</w:t>
            </w:r>
          </w:p>
        </w:tc>
      </w:tr>
      <w:tr w:rsidR="00931690" w:rsidRPr="00BC43C6" w:rsidTr="00931690">
        <w:trPr>
          <w:trHeight w:val="248"/>
        </w:trPr>
        <w:tc>
          <w:tcPr>
            <w:tcW w:w="4205" w:type="dxa"/>
            <w:tcBorders>
              <w:top w:val="single" w:sz="4" w:space="0" w:color="auto"/>
              <w:left w:val="nil"/>
              <w:bottom w:val="single" w:sz="4" w:space="0" w:color="auto"/>
              <w:right w:val="nil"/>
            </w:tcBorders>
          </w:tcPr>
          <w:p w:rsidR="00931690" w:rsidRPr="00DE3719" w:rsidRDefault="00931690" w:rsidP="009721CD">
            <w:pPr>
              <w:adjustRightInd w:val="0"/>
              <w:ind w:left="425"/>
              <w:rPr>
                <w:b/>
                <w:bCs/>
                <w:iCs/>
                <w:sz w:val="24"/>
                <w:szCs w:val="24"/>
              </w:rPr>
            </w:pPr>
            <w:r w:rsidRPr="00DE3719">
              <w:rPr>
                <w:b/>
                <w:bCs/>
                <w:iCs/>
                <w:sz w:val="24"/>
                <w:szCs w:val="24"/>
              </w:rPr>
              <w:t>Variables</w:t>
            </w:r>
          </w:p>
        </w:tc>
        <w:tc>
          <w:tcPr>
            <w:tcW w:w="2094" w:type="dxa"/>
            <w:tcBorders>
              <w:top w:val="single" w:sz="4" w:space="0" w:color="auto"/>
              <w:left w:val="nil"/>
              <w:bottom w:val="single" w:sz="4" w:space="0" w:color="auto"/>
              <w:right w:val="nil"/>
            </w:tcBorders>
          </w:tcPr>
          <w:p w:rsidR="00931690" w:rsidRPr="00DE3719" w:rsidRDefault="00931690" w:rsidP="009721CD">
            <w:pPr>
              <w:adjustRightInd w:val="0"/>
              <w:ind w:left="425"/>
              <w:rPr>
                <w:b/>
                <w:bCs/>
                <w:iCs/>
                <w:sz w:val="24"/>
                <w:szCs w:val="24"/>
              </w:rPr>
            </w:pPr>
            <w:r w:rsidRPr="00DE3719">
              <w:rPr>
                <w:b/>
                <w:bCs/>
                <w:iCs/>
                <w:sz w:val="24"/>
                <w:szCs w:val="24"/>
              </w:rPr>
              <w:t>Coef.</w:t>
            </w:r>
          </w:p>
        </w:tc>
        <w:tc>
          <w:tcPr>
            <w:tcW w:w="2487" w:type="dxa"/>
            <w:tcBorders>
              <w:top w:val="single" w:sz="4" w:space="0" w:color="auto"/>
              <w:left w:val="nil"/>
              <w:bottom w:val="single" w:sz="4" w:space="0" w:color="auto"/>
              <w:right w:val="nil"/>
            </w:tcBorders>
          </w:tcPr>
          <w:p w:rsidR="00931690" w:rsidRPr="00DE3719" w:rsidRDefault="00931690" w:rsidP="009721CD">
            <w:pPr>
              <w:adjustRightInd w:val="0"/>
              <w:ind w:left="425"/>
              <w:rPr>
                <w:b/>
                <w:bCs/>
                <w:iCs/>
                <w:sz w:val="24"/>
                <w:szCs w:val="24"/>
              </w:rPr>
            </w:pPr>
            <w:proofErr w:type="gramStart"/>
            <w:r w:rsidRPr="00DE3719">
              <w:rPr>
                <w:b/>
                <w:bCs/>
                <w:iCs/>
                <w:sz w:val="24"/>
                <w:szCs w:val="24"/>
              </w:rPr>
              <w:t>z</w:t>
            </w:r>
            <w:proofErr w:type="gramEnd"/>
            <w:r w:rsidRPr="00DE3719">
              <w:rPr>
                <w:b/>
                <w:bCs/>
                <w:iCs/>
                <w:sz w:val="24"/>
                <w:szCs w:val="24"/>
              </w:rPr>
              <w:t>-statistic</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sz w:val="24"/>
                <w:szCs w:val="24"/>
              </w:rPr>
            </w:pPr>
            <w:r w:rsidRPr="00BC43C6">
              <w:rPr>
                <w:sz w:val="24"/>
                <w:szCs w:val="24"/>
              </w:rPr>
              <w:t>Intercept</w:t>
            </w:r>
          </w:p>
        </w:tc>
        <w:tc>
          <w:tcPr>
            <w:tcW w:w="2094" w:type="dxa"/>
            <w:tcBorders>
              <w:top w:val="nil"/>
              <w:left w:val="nil"/>
              <w:bottom w:val="nil"/>
              <w:right w:val="nil"/>
            </w:tcBorders>
            <w:shd w:val="clear" w:color="auto" w:fill="auto"/>
          </w:tcPr>
          <w:p w:rsidR="00931690" w:rsidRPr="00BC43C6" w:rsidRDefault="00931690" w:rsidP="009721CD">
            <w:pPr>
              <w:ind w:left="425"/>
              <w:rPr>
                <w:sz w:val="24"/>
                <w:szCs w:val="24"/>
              </w:rPr>
            </w:pPr>
            <w:r w:rsidRPr="00BC43C6">
              <w:rPr>
                <w:sz w:val="24"/>
                <w:szCs w:val="24"/>
              </w:rPr>
              <w:t>0.315</w:t>
            </w:r>
          </w:p>
        </w:tc>
        <w:tc>
          <w:tcPr>
            <w:tcW w:w="2487" w:type="dxa"/>
            <w:tcBorders>
              <w:top w:val="nil"/>
              <w:left w:val="nil"/>
              <w:bottom w:val="nil"/>
              <w:right w:val="nil"/>
            </w:tcBorders>
            <w:shd w:val="clear" w:color="auto" w:fill="auto"/>
          </w:tcPr>
          <w:p w:rsidR="00931690" w:rsidRPr="00BC43C6" w:rsidRDefault="00931690" w:rsidP="009721CD">
            <w:pPr>
              <w:ind w:left="425"/>
              <w:rPr>
                <w:sz w:val="24"/>
                <w:szCs w:val="24"/>
              </w:rPr>
            </w:pPr>
            <w:r w:rsidRPr="00BC43C6">
              <w:rPr>
                <w:sz w:val="24"/>
                <w:szCs w:val="24"/>
              </w:rPr>
              <w:t>49.89***</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Pr>
                <w:sz w:val="24"/>
                <w:szCs w:val="24"/>
              </w:rPr>
              <w:t>CED</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-0.310</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-9.00***</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sidRPr="00BC43C6">
              <w:rPr>
                <w:sz w:val="24"/>
                <w:szCs w:val="24"/>
              </w:rPr>
              <w:t>FIRM_LEV</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-0.061</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-16.26***</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sz w:val="24"/>
                <w:szCs w:val="24"/>
              </w:rPr>
            </w:pPr>
            <w:r w:rsidRPr="00BC43C6">
              <w:rPr>
                <w:sz w:val="24"/>
                <w:szCs w:val="24"/>
              </w:rPr>
              <w:t>FIRM_SIZE</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0.001</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6.61***</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sidRPr="00BC43C6">
              <w:rPr>
                <w:sz w:val="24"/>
                <w:szCs w:val="24"/>
              </w:rPr>
              <w:t>ROA</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-0.549</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-61.45***</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bCs/>
                <w:sz w:val="24"/>
                <w:szCs w:val="24"/>
              </w:rPr>
            </w:pPr>
            <w:r w:rsidRPr="00BC43C6">
              <w:rPr>
                <w:bCs/>
                <w:sz w:val="24"/>
                <w:szCs w:val="24"/>
              </w:rPr>
              <w:t>PPE</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0.056</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16.88***</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bCs/>
                <w:sz w:val="24"/>
                <w:szCs w:val="24"/>
              </w:rPr>
            </w:pPr>
            <w:r w:rsidRPr="00BC43C6">
              <w:rPr>
                <w:bCs/>
                <w:sz w:val="24"/>
                <w:szCs w:val="24"/>
              </w:rPr>
              <w:t>CF</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-0.001</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-5.44***</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bCs/>
                <w:sz w:val="24"/>
                <w:szCs w:val="24"/>
              </w:rPr>
            </w:pPr>
            <w:r w:rsidRPr="00BC43C6">
              <w:rPr>
                <w:bCs/>
                <w:sz w:val="24"/>
                <w:szCs w:val="24"/>
              </w:rPr>
              <w:t>MTB</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0.002</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1.33</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bCs/>
                <w:sz w:val="24"/>
                <w:szCs w:val="24"/>
              </w:rPr>
            </w:pPr>
            <w:r w:rsidRPr="00BC43C6">
              <w:rPr>
                <w:bCs/>
                <w:sz w:val="24"/>
                <w:szCs w:val="24"/>
              </w:rPr>
              <w:t>LEG_SYS</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0.005</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83.79***</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bCs/>
                <w:sz w:val="24"/>
                <w:szCs w:val="24"/>
              </w:rPr>
            </w:pPr>
            <w:r w:rsidRPr="00BC43C6">
              <w:rPr>
                <w:bCs/>
                <w:sz w:val="24"/>
                <w:szCs w:val="24"/>
              </w:rPr>
              <w:t>COVID-19</w:t>
            </w:r>
          </w:p>
        </w:tc>
        <w:tc>
          <w:tcPr>
            <w:tcW w:w="2094"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-0.016</w:t>
            </w:r>
          </w:p>
        </w:tc>
        <w:tc>
          <w:tcPr>
            <w:tcW w:w="2487" w:type="dxa"/>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-5.77***</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Pr>
                <w:sz w:val="24"/>
                <w:szCs w:val="24"/>
              </w:rPr>
              <w:t>Year fixed effect</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Pr>
                <w:sz w:val="24"/>
                <w:szCs w:val="24"/>
              </w:rPr>
              <w:t>Yes</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Pr>
                <w:sz w:val="24"/>
                <w:szCs w:val="24"/>
              </w:rPr>
              <w:t>Firm fixed effect</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Pr>
                <w:sz w:val="24"/>
                <w:szCs w:val="24"/>
              </w:rPr>
              <w:t>Yes</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sz w:val="24"/>
                <w:szCs w:val="24"/>
              </w:rPr>
            </w:pPr>
            <w:r>
              <w:rPr>
                <w:sz w:val="24"/>
                <w:szCs w:val="24"/>
              </w:rPr>
              <w:t xml:space="preserve">Homogeneity test </w:t>
            </w:r>
            <w:r w:rsidRPr="00A428AC">
              <w:rPr>
                <w:sz w:val="24"/>
                <w:szCs w:val="24"/>
              </w:rPr>
              <w:t>(</w:t>
            </w:r>
            <w:r w:rsidRPr="00A428AC">
              <w:rPr>
                <w:i/>
                <w:sz w:val="24"/>
                <w:szCs w:val="24"/>
              </w:rPr>
              <w:t>p-value</w:t>
            </w:r>
            <w:r w:rsidRPr="00A428AC">
              <w:rPr>
                <w:sz w:val="24"/>
                <w:szCs w:val="24"/>
              </w:rPr>
              <w:t>)</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1613.62 (0.000)</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sz w:val="24"/>
                <w:szCs w:val="24"/>
              </w:rPr>
            </w:pPr>
            <w:r w:rsidRPr="00A428AC">
              <w:rPr>
                <w:sz w:val="24"/>
                <w:szCs w:val="24"/>
              </w:rPr>
              <w:t>Hausman</w:t>
            </w:r>
            <w:r>
              <w:rPr>
                <w:sz w:val="24"/>
                <w:szCs w:val="24"/>
              </w:rPr>
              <w:t xml:space="preserve"> test</w:t>
            </w:r>
            <w:r w:rsidRPr="00A428AC">
              <w:rPr>
                <w:sz w:val="24"/>
                <w:szCs w:val="24"/>
              </w:rPr>
              <w:t xml:space="preserve"> (</w:t>
            </w:r>
            <w:r w:rsidRPr="00A428AC">
              <w:rPr>
                <w:i/>
                <w:sz w:val="24"/>
                <w:szCs w:val="24"/>
              </w:rPr>
              <w:t>Khi-deux</w:t>
            </w:r>
            <w:r w:rsidRPr="00A428AC">
              <w:rPr>
                <w:sz w:val="24"/>
                <w:szCs w:val="24"/>
              </w:rPr>
              <w:t>)</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395.88 (0.000)</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sidRPr="00A428AC">
              <w:rPr>
                <w:sz w:val="24"/>
                <w:szCs w:val="24"/>
              </w:rPr>
              <w:t xml:space="preserve">Wald </w:t>
            </w:r>
            <w:r w:rsidRPr="00A428AC">
              <w:rPr>
                <w:i/>
                <w:sz w:val="24"/>
                <w:szCs w:val="24"/>
              </w:rPr>
              <w:t>X</w:t>
            </w:r>
            <w:r w:rsidRPr="00A428AC">
              <w:rPr>
                <w:i/>
                <w:sz w:val="24"/>
                <w:szCs w:val="24"/>
                <w:vertAlign w:val="superscript"/>
              </w:rPr>
              <w:t xml:space="preserve">2 </w:t>
            </w:r>
            <w:r w:rsidRPr="00A428AC">
              <w:rPr>
                <w:sz w:val="24"/>
                <w:szCs w:val="24"/>
              </w:rPr>
              <w:t>(</w:t>
            </w:r>
            <w:r w:rsidRPr="00A428AC">
              <w:rPr>
                <w:i/>
                <w:sz w:val="24"/>
                <w:szCs w:val="24"/>
              </w:rPr>
              <w:t>p-value</w:t>
            </w:r>
            <w:r w:rsidRPr="00A428AC">
              <w:rPr>
                <w:sz w:val="24"/>
                <w:szCs w:val="24"/>
              </w:rPr>
              <w:t>)</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13010.47 (0.000)</w:t>
            </w:r>
          </w:p>
        </w:tc>
      </w:tr>
      <w:tr w:rsidR="00931690" w:rsidRPr="00BC43C6" w:rsidTr="00931690">
        <w:trPr>
          <w:trHeight w:val="248"/>
        </w:trPr>
        <w:tc>
          <w:tcPr>
            <w:tcW w:w="4205" w:type="dxa"/>
            <w:tcBorders>
              <w:top w:val="nil"/>
              <w:left w:val="nil"/>
              <w:bottom w:val="nil"/>
              <w:right w:val="nil"/>
            </w:tcBorders>
          </w:tcPr>
          <w:p w:rsidR="00931690" w:rsidRPr="00BC43C6" w:rsidRDefault="00931690" w:rsidP="009721CD">
            <w:pPr>
              <w:ind w:left="425"/>
              <w:rPr>
                <w:sz w:val="24"/>
                <w:szCs w:val="24"/>
              </w:rPr>
            </w:pPr>
            <w:r w:rsidRPr="00A428AC">
              <w:rPr>
                <w:sz w:val="24"/>
                <w:szCs w:val="24"/>
              </w:rPr>
              <w:t>Observations</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Pr>
                <w:sz w:val="24"/>
                <w:szCs w:val="24"/>
              </w:rPr>
              <w:t>29,770</w:t>
            </w:r>
          </w:p>
        </w:tc>
      </w:tr>
      <w:tr w:rsidR="00931690" w:rsidRPr="00BC43C6" w:rsidTr="00931690">
        <w:trPr>
          <w:trHeight w:val="261"/>
        </w:trPr>
        <w:tc>
          <w:tcPr>
            <w:tcW w:w="4205" w:type="dxa"/>
            <w:tcBorders>
              <w:top w:val="nil"/>
              <w:left w:val="nil"/>
              <w:bottom w:val="nil"/>
              <w:right w:val="nil"/>
            </w:tcBorders>
          </w:tcPr>
          <w:p w:rsidR="00931690" w:rsidRPr="00BC43C6" w:rsidRDefault="00931690" w:rsidP="009721CD">
            <w:pPr>
              <w:ind w:left="425"/>
              <w:rPr>
                <w:sz w:val="24"/>
                <w:szCs w:val="24"/>
              </w:rPr>
            </w:pPr>
            <w:r w:rsidRPr="00A428AC">
              <w:rPr>
                <w:sz w:val="24"/>
                <w:szCs w:val="24"/>
              </w:rPr>
              <w:t>F statisti</w:t>
            </w:r>
            <w:r>
              <w:rPr>
                <w:sz w:val="24"/>
                <w:szCs w:val="24"/>
              </w:rPr>
              <w:t>c</w:t>
            </w:r>
            <w:r w:rsidRPr="00A428AC">
              <w:rPr>
                <w:i/>
                <w:sz w:val="24"/>
                <w:szCs w:val="24"/>
                <w:vertAlign w:val="superscript"/>
              </w:rPr>
              <w:t xml:space="preserve"> </w:t>
            </w:r>
            <w:r w:rsidRPr="00A428AC">
              <w:rPr>
                <w:i/>
                <w:sz w:val="24"/>
                <w:szCs w:val="24"/>
              </w:rPr>
              <w:t>(p-value)</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5.65 (0.000)</w:t>
            </w:r>
          </w:p>
        </w:tc>
      </w:tr>
      <w:tr w:rsidR="00931690" w:rsidRPr="00BC43C6" w:rsidTr="00931690">
        <w:trPr>
          <w:trHeight w:val="73"/>
        </w:trPr>
        <w:tc>
          <w:tcPr>
            <w:tcW w:w="4205" w:type="dxa"/>
            <w:tcBorders>
              <w:top w:val="nil"/>
              <w:left w:val="nil"/>
              <w:bottom w:val="nil"/>
              <w:right w:val="nil"/>
            </w:tcBorders>
          </w:tcPr>
          <w:p w:rsidR="00931690" w:rsidRPr="00BC43C6" w:rsidRDefault="00931690" w:rsidP="009721CD">
            <w:pPr>
              <w:tabs>
                <w:tab w:val="center" w:pos="1451"/>
              </w:tabs>
              <w:ind w:left="425"/>
              <w:rPr>
                <w:i/>
                <w:sz w:val="24"/>
                <w:szCs w:val="24"/>
                <w:vertAlign w:val="superscript"/>
              </w:rPr>
            </w:pPr>
            <w:r w:rsidRPr="00A428AC">
              <w:rPr>
                <w:i/>
                <w:sz w:val="24"/>
                <w:szCs w:val="24"/>
              </w:rPr>
              <w:t>R</w:t>
            </w:r>
            <w:r w:rsidRPr="00A428AC">
              <w:rPr>
                <w:i/>
                <w:sz w:val="24"/>
                <w:szCs w:val="24"/>
                <w:vertAlign w:val="superscript"/>
              </w:rPr>
              <w:t>2</w:t>
            </w:r>
          </w:p>
        </w:tc>
        <w:tc>
          <w:tcPr>
            <w:tcW w:w="4581" w:type="dxa"/>
            <w:gridSpan w:val="2"/>
            <w:tcBorders>
              <w:top w:val="nil"/>
              <w:left w:val="nil"/>
              <w:bottom w:val="nil"/>
              <w:right w:val="nil"/>
            </w:tcBorders>
            <w:shd w:val="clear" w:color="auto" w:fill="FFFFFF"/>
          </w:tcPr>
          <w:p w:rsidR="00931690" w:rsidRPr="00BC43C6" w:rsidRDefault="00931690" w:rsidP="009721CD">
            <w:pPr>
              <w:ind w:left="425"/>
              <w:rPr>
                <w:sz w:val="24"/>
                <w:szCs w:val="24"/>
              </w:rPr>
            </w:pPr>
            <w:r w:rsidRPr="00BC43C6">
              <w:rPr>
                <w:sz w:val="24"/>
                <w:szCs w:val="24"/>
              </w:rPr>
              <w:t>0.45</w:t>
            </w:r>
          </w:p>
        </w:tc>
      </w:tr>
    </w:tbl>
    <w:p w:rsidR="004F7DB6" w:rsidRPr="004F7DB6" w:rsidRDefault="004F7DB6" w:rsidP="004F7DB6">
      <w:pPr>
        <w:ind w:left="425" w:rightChars="845" w:right="1859"/>
        <w:contextualSpacing/>
        <w:jc w:val="both"/>
        <w:rPr>
          <w:sz w:val="24"/>
          <w:szCs w:val="24"/>
        </w:rPr>
      </w:pPr>
      <w:r w:rsidRPr="00B97E34">
        <w:rPr>
          <w:b/>
          <w:sz w:val="18"/>
          <w:szCs w:val="24"/>
        </w:rPr>
        <w:t>Note(s</w:t>
      </w:r>
      <w:proofErr w:type="gramStart"/>
      <w:r w:rsidRPr="00B97E34">
        <w:rPr>
          <w:b/>
          <w:sz w:val="18"/>
          <w:szCs w:val="24"/>
        </w:rPr>
        <w:t>):</w:t>
      </w:r>
      <w:proofErr w:type="gramEnd"/>
      <w:r w:rsidRPr="00B97E34">
        <w:rPr>
          <w:b/>
          <w:sz w:val="18"/>
          <w:szCs w:val="24"/>
        </w:rPr>
        <w:t xml:space="preserve"> </w:t>
      </w:r>
      <w:r w:rsidRPr="00B97E34">
        <w:rPr>
          <w:sz w:val="18"/>
          <w:szCs w:val="24"/>
        </w:rPr>
        <w:t xml:space="preserve">This table presents the results of the linear regressions of our model. The year and company indicators are included in the model, but their coefficients are not presented in this table. The measures of the variables are summarized in Table </w:t>
      </w:r>
      <w:r>
        <w:rPr>
          <w:sz w:val="18"/>
          <w:szCs w:val="24"/>
        </w:rPr>
        <w:t>2</w:t>
      </w:r>
      <w:r w:rsidRPr="00B97E34">
        <w:rPr>
          <w:sz w:val="18"/>
          <w:szCs w:val="24"/>
        </w:rPr>
        <w:t>. The t-statistics are based on pooled standard errors at the firm level. Year, sector and country indicators are included in our models, but their coefficients are not shown in this table.</w:t>
      </w:r>
    </w:p>
    <w:p w:rsidR="004F7DB6" w:rsidRDefault="004F7DB6" w:rsidP="004F7DB6">
      <w:pPr>
        <w:ind w:left="425"/>
        <w:rPr>
          <w:sz w:val="18"/>
          <w:szCs w:val="24"/>
        </w:rPr>
      </w:pPr>
      <w:r w:rsidRPr="00B97E34">
        <w:rPr>
          <w:sz w:val="18"/>
          <w:szCs w:val="24"/>
        </w:rPr>
        <w:t>*, **, *** Significance at p &lt; 0.01; p &lt; 0.05; and p &lt; 0.10, respectively.</w:t>
      </w:r>
    </w:p>
    <w:p w:rsidR="004F7DB6" w:rsidRDefault="004F7DB6" w:rsidP="004F7DB6">
      <w:pPr>
        <w:spacing w:line="360" w:lineRule="auto"/>
        <w:ind w:left="425"/>
        <w:rPr>
          <w:rFonts w:asciiTheme="majorBidi" w:hAnsiTheme="majorBidi" w:cstheme="majorBidi"/>
          <w:b/>
          <w:bCs/>
          <w:sz w:val="24"/>
          <w:szCs w:val="24"/>
        </w:rPr>
      </w:pPr>
      <w:proofErr w:type="gramStart"/>
      <w:r w:rsidRPr="00641D5C">
        <w:rPr>
          <w:b/>
          <w:sz w:val="18"/>
          <w:szCs w:val="18"/>
        </w:rPr>
        <w:t>Source:</w:t>
      </w:r>
      <w:proofErr w:type="gramEnd"/>
      <w:r w:rsidRPr="00641D5C">
        <w:rPr>
          <w:sz w:val="18"/>
          <w:szCs w:val="18"/>
        </w:rPr>
        <w:t xml:space="preserve"> Authors’ own work</w:t>
      </w:r>
    </w:p>
    <w:p w:rsidR="004F7DB6" w:rsidRDefault="004F7DB6" w:rsidP="00965AE4">
      <w:pPr>
        <w:tabs>
          <w:tab w:val="left" w:pos="2685"/>
        </w:tabs>
        <w:ind w:right="845"/>
        <w:contextualSpacing/>
        <w:jc w:val="both"/>
        <w:rPr>
          <w:b/>
          <w:sz w:val="24"/>
        </w:rPr>
      </w:pPr>
    </w:p>
    <w:p w:rsidR="00931690" w:rsidRDefault="00931690" w:rsidP="009F339E">
      <w:pPr>
        <w:tabs>
          <w:tab w:val="left" w:pos="2685"/>
        </w:tabs>
        <w:ind w:left="425" w:right="845"/>
        <w:contextualSpacing/>
        <w:jc w:val="both"/>
        <w:rPr>
          <w:b/>
          <w:sz w:val="24"/>
        </w:rPr>
      </w:pPr>
      <w:r>
        <w:rPr>
          <w:b/>
          <w:sz w:val="24"/>
        </w:rPr>
        <w:t>6</w:t>
      </w:r>
      <w:r w:rsidRPr="00AA7F9E">
        <w:rPr>
          <w:b/>
          <w:sz w:val="24"/>
        </w:rPr>
        <w:t>. Conclusion</w:t>
      </w:r>
      <w:r>
        <w:rPr>
          <w:b/>
          <w:sz w:val="24"/>
        </w:rPr>
        <w:tab/>
      </w:r>
    </w:p>
    <w:p w:rsidR="004F7DB6" w:rsidRDefault="004F7DB6" w:rsidP="009F339E">
      <w:pPr>
        <w:tabs>
          <w:tab w:val="left" w:pos="2685"/>
        </w:tabs>
        <w:ind w:left="425" w:right="845"/>
        <w:contextualSpacing/>
        <w:jc w:val="both"/>
        <w:rPr>
          <w:b/>
          <w:sz w:val="24"/>
        </w:rPr>
      </w:pPr>
    </w:p>
    <w:p w:rsidR="00965AE4" w:rsidRDefault="00965AE4" w:rsidP="00965AE4">
      <w:pPr>
        <w:adjustRightInd w:val="0"/>
        <w:ind w:left="425" w:rightChars="845" w:right="1859"/>
        <w:contextualSpacing/>
        <w:jc w:val="both"/>
        <w:rPr>
          <w:rFonts w:asciiTheme="majorBidi" w:hAnsiTheme="majorBidi" w:cstheme="majorBidi"/>
          <w:sz w:val="24"/>
          <w:szCs w:val="24"/>
        </w:rPr>
      </w:pPr>
      <w:r w:rsidRPr="00843F92">
        <w:rPr>
          <w:bCs/>
          <w:sz w:val="24"/>
          <w:szCs w:val="24"/>
        </w:rPr>
        <w:t>This study examines the link between ‘</w:t>
      </w:r>
      <w:r>
        <w:rPr>
          <w:bCs/>
          <w:sz w:val="24"/>
          <w:szCs w:val="24"/>
        </w:rPr>
        <w:t>environmental transparency’ and ‘tax avoidance’</w:t>
      </w:r>
      <w:r w:rsidRPr="00843F92">
        <w:rPr>
          <w:bCs/>
          <w:sz w:val="24"/>
          <w:szCs w:val="24"/>
        </w:rPr>
        <w:t>. The research was based on ‘a sample of ASSET4 companies from 28 countries’. Drawing on ‘stakeholder theory’, ‘legitimacy theory’, ‘agency theory’</w:t>
      </w:r>
      <w:r>
        <w:rPr>
          <w:bCs/>
          <w:sz w:val="24"/>
          <w:szCs w:val="24"/>
        </w:rPr>
        <w:t xml:space="preserve"> and </w:t>
      </w:r>
      <w:r w:rsidRPr="00843F92">
        <w:rPr>
          <w:bCs/>
          <w:sz w:val="24"/>
          <w:szCs w:val="24"/>
        </w:rPr>
        <w:t>‘risk management theory’</w:t>
      </w:r>
      <w:r>
        <w:rPr>
          <w:bCs/>
          <w:sz w:val="24"/>
          <w:szCs w:val="24"/>
        </w:rPr>
        <w:t>,</w:t>
      </w:r>
      <w:r w:rsidRPr="00843F92">
        <w:rPr>
          <w:bCs/>
          <w:sz w:val="24"/>
          <w:szCs w:val="24"/>
        </w:rPr>
        <w:t xml:space="preserve"> we attempted to develop a theoretical framework that elucidates the relationship between </w:t>
      </w:r>
      <w:r>
        <w:rPr>
          <w:bCs/>
          <w:sz w:val="24"/>
          <w:szCs w:val="24"/>
        </w:rPr>
        <w:t>environmental transparency</w:t>
      </w:r>
      <w:r w:rsidRPr="00843F92">
        <w:rPr>
          <w:bCs/>
          <w:sz w:val="24"/>
          <w:szCs w:val="24"/>
        </w:rPr>
        <w:t xml:space="preserve"> and avoidance</w:t>
      </w:r>
      <w:r>
        <w:rPr>
          <w:bCs/>
          <w:sz w:val="24"/>
          <w:szCs w:val="24"/>
        </w:rPr>
        <w:t>.</w:t>
      </w:r>
    </w:p>
    <w:p w:rsidR="00965AE4" w:rsidRDefault="00931690" w:rsidP="00965AE4">
      <w:pPr>
        <w:adjustRightInd w:val="0"/>
        <w:ind w:left="425" w:rightChars="845" w:right="1859"/>
        <w:contextualSpacing/>
        <w:jc w:val="both"/>
        <w:rPr>
          <w:rFonts w:asciiTheme="majorBidi" w:hAnsiTheme="majorBidi" w:cstheme="majorBidi"/>
          <w:sz w:val="24"/>
          <w:szCs w:val="24"/>
        </w:rPr>
      </w:pPr>
      <w:r w:rsidRPr="00843F92">
        <w:rPr>
          <w:bCs/>
          <w:sz w:val="24"/>
          <w:szCs w:val="24"/>
        </w:rPr>
        <w:t xml:space="preserve">This study adopts a positivist paradigm and aims to empirically validate theoretical </w:t>
      </w:r>
      <w:r w:rsidRPr="00843F92">
        <w:rPr>
          <w:bCs/>
          <w:sz w:val="24"/>
          <w:szCs w:val="24"/>
        </w:rPr>
        <w:lastRenderedPageBreak/>
        <w:t xml:space="preserve">deductions. A sample </w:t>
      </w:r>
      <w:r w:rsidRPr="00DD4AF6">
        <w:rPr>
          <w:bCs/>
          <w:sz w:val="24"/>
          <w:szCs w:val="24"/>
        </w:rPr>
        <w:t xml:space="preserve">of </w:t>
      </w:r>
      <w:r w:rsidRPr="00DD4AF6">
        <w:rPr>
          <w:rFonts w:asciiTheme="majorBidi" w:hAnsiTheme="majorBidi" w:cstheme="majorBidi"/>
          <w:sz w:val="24"/>
          <w:szCs w:val="24"/>
        </w:rPr>
        <w:t xml:space="preserve">1,836 </w:t>
      </w:r>
      <w:r w:rsidRPr="00DD4AF6">
        <w:rPr>
          <w:bCs/>
          <w:sz w:val="24"/>
          <w:szCs w:val="24"/>
        </w:rPr>
        <w:t>European</w:t>
      </w:r>
      <w:r w:rsidRPr="00843F92">
        <w:rPr>
          <w:bCs/>
          <w:sz w:val="24"/>
          <w:szCs w:val="24"/>
        </w:rPr>
        <w:t xml:space="preserve"> companies between </w:t>
      </w:r>
      <w:r>
        <w:rPr>
          <w:bCs/>
          <w:sz w:val="24"/>
          <w:szCs w:val="24"/>
        </w:rPr>
        <w:t>2016</w:t>
      </w:r>
      <w:r w:rsidRPr="00843F92">
        <w:rPr>
          <w:bCs/>
          <w:sz w:val="24"/>
          <w:szCs w:val="24"/>
        </w:rPr>
        <w:t xml:space="preserve"> and 202</w:t>
      </w:r>
      <w:r>
        <w:rPr>
          <w:bCs/>
          <w:sz w:val="24"/>
          <w:szCs w:val="24"/>
        </w:rPr>
        <w:t>4</w:t>
      </w:r>
      <w:r w:rsidRPr="00843F92">
        <w:rPr>
          <w:bCs/>
          <w:sz w:val="24"/>
          <w:szCs w:val="24"/>
        </w:rPr>
        <w:t xml:space="preserve"> is used for the data analysis. To this end, we employed multiple linear regression applied to panel data to explain the effect of ‘</w:t>
      </w:r>
      <w:r>
        <w:rPr>
          <w:bCs/>
          <w:sz w:val="24"/>
          <w:szCs w:val="24"/>
        </w:rPr>
        <w:t>environmental transparency’ on</w:t>
      </w:r>
      <w:r w:rsidRPr="00843F92">
        <w:rPr>
          <w:bCs/>
          <w:sz w:val="24"/>
          <w:szCs w:val="24"/>
        </w:rPr>
        <w:t xml:space="preserve"> ‘tax avoidance’.</w:t>
      </w:r>
      <w:r>
        <w:rPr>
          <w:bCs/>
          <w:sz w:val="24"/>
          <w:szCs w:val="24"/>
        </w:rPr>
        <w:t xml:space="preserve"> Our empirical findings validate the </w:t>
      </w:r>
      <w:r w:rsidRPr="009D3EC8">
        <w:rPr>
          <w:bCs/>
          <w:sz w:val="24"/>
          <w:szCs w:val="24"/>
        </w:rPr>
        <w:t xml:space="preserve">majority of our anticipated results. Specifically, we observed a negative association between </w:t>
      </w:r>
      <w:r>
        <w:rPr>
          <w:bCs/>
          <w:sz w:val="24"/>
          <w:szCs w:val="24"/>
        </w:rPr>
        <w:t>environmental transparency</w:t>
      </w:r>
      <w:r w:rsidRPr="009D3EC8">
        <w:rPr>
          <w:bCs/>
          <w:sz w:val="24"/>
          <w:szCs w:val="24"/>
        </w:rPr>
        <w:t xml:space="preserve"> and </w:t>
      </w:r>
      <w:r>
        <w:rPr>
          <w:bCs/>
          <w:sz w:val="24"/>
          <w:szCs w:val="24"/>
        </w:rPr>
        <w:t>tax avoidance</w:t>
      </w:r>
      <w:r w:rsidRPr="009D3EC8">
        <w:rPr>
          <w:bCs/>
          <w:sz w:val="24"/>
          <w:szCs w:val="24"/>
        </w:rPr>
        <w:t xml:space="preserve">, supporting hypothesis H1. </w:t>
      </w:r>
    </w:p>
    <w:p w:rsidR="00965AE4" w:rsidRDefault="00931690" w:rsidP="00965AE4">
      <w:pPr>
        <w:adjustRightInd w:val="0"/>
        <w:ind w:left="425" w:rightChars="845" w:right="1859"/>
        <w:contextualSpacing/>
        <w:jc w:val="both"/>
        <w:rPr>
          <w:rFonts w:asciiTheme="majorBidi" w:hAnsiTheme="majorBidi" w:cstheme="majorBidi"/>
          <w:sz w:val="24"/>
          <w:szCs w:val="24"/>
        </w:rPr>
      </w:pPr>
      <w:r>
        <w:rPr>
          <w:bCs/>
          <w:sz w:val="24"/>
          <w:szCs w:val="24"/>
        </w:rPr>
        <w:t>Our study offers substantial implications for practice, research, and society at large. First</w:t>
      </w:r>
      <w:r w:rsidRPr="00F75E6C">
        <w:rPr>
          <w:bCs/>
          <w:sz w:val="24"/>
          <w:szCs w:val="24"/>
        </w:rPr>
        <w:t>, this study proposes strategies for companies seeking to combine fiscal and environmental transparency, and for regulators wishing to stre</w:t>
      </w:r>
      <w:r>
        <w:rPr>
          <w:bCs/>
          <w:sz w:val="24"/>
          <w:szCs w:val="24"/>
        </w:rPr>
        <w:t>ngthen disclosure requirements. Second</w:t>
      </w:r>
      <w:r w:rsidRPr="00F75E6C">
        <w:rPr>
          <w:bCs/>
          <w:sz w:val="24"/>
          <w:szCs w:val="24"/>
        </w:rPr>
        <w:t>, this research opens up new avenues of analysis on the interdependence between CSR, taxation and the environment.</w:t>
      </w:r>
      <w:r>
        <w:rPr>
          <w:bCs/>
          <w:sz w:val="24"/>
          <w:szCs w:val="24"/>
        </w:rPr>
        <w:t xml:space="preserve"> Third</w:t>
      </w:r>
      <w:r w:rsidRPr="00F75E6C">
        <w:rPr>
          <w:bCs/>
          <w:sz w:val="24"/>
          <w:szCs w:val="24"/>
        </w:rPr>
        <w:t xml:space="preserve">, this paper contributes to a better regulation of corporate taxation and the reduction of their environmental impact, while reinforcing citizens' trust in companies and institutions. </w:t>
      </w:r>
      <w:r>
        <w:rPr>
          <w:bCs/>
          <w:sz w:val="24"/>
          <w:szCs w:val="24"/>
        </w:rPr>
        <w:t>Finally</w:t>
      </w:r>
      <w:r w:rsidRPr="00FE0CDC">
        <w:rPr>
          <w:bCs/>
          <w:sz w:val="24"/>
          <w:szCs w:val="24"/>
        </w:rPr>
        <w:t xml:space="preserve">, investors should see </w:t>
      </w:r>
      <w:r>
        <w:rPr>
          <w:bCs/>
          <w:sz w:val="24"/>
          <w:szCs w:val="24"/>
        </w:rPr>
        <w:t>environmental transparency</w:t>
      </w:r>
      <w:r w:rsidRPr="00FE0CDC">
        <w:rPr>
          <w:bCs/>
          <w:sz w:val="24"/>
          <w:szCs w:val="24"/>
        </w:rPr>
        <w:t xml:space="preserve"> as an important value, as it allows companies to improve the quality of their reporting influenced by tax avoidance. This study provides stakeholders with access to credible and transparent information that will enable them to make informed investment decisions. It thus contributes to a better understanding of the variables likely to reduce tax avoidance.</w:t>
      </w:r>
    </w:p>
    <w:p w:rsidR="00965AE4" w:rsidRDefault="00931690" w:rsidP="00965AE4">
      <w:pPr>
        <w:adjustRightInd w:val="0"/>
        <w:ind w:left="425" w:rightChars="845" w:right="1859"/>
        <w:contextualSpacing/>
        <w:jc w:val="both"/>
        <w:rPr>
          <w:rFonts w:asciiTheme="majorBidi" w:hAnsiTheme="majorBidi" w:cstheme="majorBidi"/>
          <w:sz w:val="24"/>
          <w:szCs w:val="24"/>
        </w:rPr>
      </w:pPr>
      <w:r w:rsidRPr="00BE3001">
        <w:rPr>
          <w:bCs/>
          <w:sz w:val="24"/>
          <w:szCs w:val="24"/>
        </w:rPr>
        <w:t>Although it makes significant contributions to the existing literature, our research has several limitations. Firstly, our study focuses exclusively on environmental performance indicators and does not address other types of non-financial performance, such as social and governance issues. As sustainable investors integrate ESG (environmental, social</w:t>
      </w:r>
      <w:r w:rsidR="00047B53">
        <w:rPr>
          <w:bCs/>
          <w:sz w:val="24"/>
          <w:szCs w:val="24"/>
        </w:rPr>
        <w:t>,</w:t>
      </w:r>
      <w:r w:rsidRPr="00BE3001">
        <w:rPr>
          <w:bCs/>
          <w:sz w:val="24"/>
          <w:szCs w:val="24"/>
        </w:rPr>
        <w:t xml:space="preserve"> and governance) and financial factors into their analyses, future studies should also take these aspects into account, in addition to environmental performance. Secondly, various tax avoidance measures should be considered </w:t>
      </w:r>
      <w:r w:rsidR="00047B53">
        <w:rPr>
          <w:bCs/>
          <w:sz w:val="24"/>
          <w:szCs w:val="24"/>
        </w:rPr>
        <w:t>to</w:t>
      </w:r>
      <w:r w:rsidRPr="00BE3001">
        <w:rPr>
          <w:bCs/>
          <w:sz w:val="24"/>
          <w:szCs w:val="24"/>
        </w:rPr>
        <w:t xml:space="preserve"> reduce measurement errors and ensure the robustness of the results. </w:t>
      </w:r>
    </w:p>
    <w:p w:rsidR="001C6AB5" w:rsidRDefault="00931690" w:rsidP="001C6AB5">
      <w:pPr>
        <w:adjustRightInd w:val="0"/>
        <w:ind w:left="425" w:rightChars="845" w:right="1859"/>
        <w:contextualSpacing/>
        <w:jc w:val="both"/>
        <w:rPr>
          <w:bCs/>
          <w:sz w:val="24"/>
          <w:szCs w:val="24"/>
        </w:rPr>
      </w:pPr>
      <w:r>
        <w:rPr>
          <w:bCs/>
          <w:sz w:val="24"/>
          <w:szCs w:val="24"/>
        </w:rPr>
        <w:t>Therefore, future research may attempt to address these issues and limitations. Indeed, upcoming studies could investigate other indicators, such as social and governmental proxies, and their effects on tax avoidance.</w:t>
      </w:r>
    </w:p>
    <w:p w:rsidR="001C6AB5" w:rsidRDefault="001C6AB5" w:rsidP="001C6AB5">
      <w:pPr>
        <w:adjustRightInd w:val="0"/>
        <w:ind w:left="425" w:rightChars="845" w:right="1859"/>
        <w:contextualSpacing/>
        <w:jc w:val="both"/>
        <w:rPr>
          <w:rFonts w:asciiTheme="majorBidi" w:hAnsiTheme="majorBidi" w:cstheme="majorBidi"/>
          <w:sz w:val="24"/>
          <w:szCs w:val="24"/>
        </w:rPr>
      </w:pPr>
    </w:p>
    <w:p w:rsidR="001C6AB5" w:rsidRDefault="001C6AB5" w:rsidP="001C6AB5">
      <w:pPr>
        <w:adjustRightInd w:val="0"/>
        <w:ind w:left="1145" w:hanging="357"/>
        <w:contextualSpacing/>
        <w:outlineLvl w:val="0"/>
        <w:rPr>
          <w:sz w:val="24"/>
          <w:szCs w:val="24"/>
        </w:rPr>
      </w:pPr>
      <w:r>
        <w:rPr>
          <w:b/>
          <w:color w:val="222222"/>
          <w:sz w:val="24"/>
          <w:szCs w:val="24"/>
          <w:shd w:val="clear" w:color="auto" w:fill="FFFFFF"/>
        </w:rPr>
        <w:t>Re</w:t>
      </w:r>
      <w:r w:rsidRPr="00081980">
        <w:rPr>
          <w:b/>
          <w:color w:val="222222"/>
          <w:sz w:val="24"/>
          <w:szCs w:val="24"/>
          <w:shd w:val="clear" w:color="auto" w:fill="FFFFFF"/>
        </w:rPr>
        <w:t>ferences</w:t>
      </w:r>
    </w:p>
    <w:p w:rsidR="001C6AB5" w:rsidRDefault="001C6AB5" w:rsidP="001C6AB5">
      <w:pPr>
        <w:adjustRightInd w:val="0"/>
        <w:ind w:left="425" w:rightChars="845" w:right="1859"/>
        <w:contextualSpacing/>
        <w:jc w:val="both"/>
        <w:rPr>
          <w:sz w:val="24"/>
          <w:szCs w:val="24"/>
        </w:rPr>
      </w:pP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Abd-Elmageed, M. H. (2021). Are tax avoidance, corporate social responsibility and financial performance affecting firm value in the Egyptian listed </w:t>
      </w:r>
      <w:proofErr w:type="gramStart"/>
      <w:r w:rsidRPr="00F542BB">
        <w:rPr>
          <w:sz w:val="24"/>
          <w:szCs w:val="24"/>
        </w:rPr>
        <w:t>companies?.</w:t>
      </w:r>
      <w:proofErr w:type="gramEnd"/>
      <w:r w:rsidRPr="00F542BB">
        <w:rPr>
          <w:sz w:val="24"/>
          <w:szCs w:val="24"/>
        </w:rPr>
        <w:t> Accounting thought, 25(1), 866-899.‎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Abdi, Y., Li, X., &amp; Càmara-Turull, X. (2022). Exploring the impact of sustainability (ESG) disclosure on firm value and financial performance (FP) in airline </w:t>
      </w:r>
      <w:proofErr w:type="gramStart"/>
      <w:r w:rsidRPr="00F542BB">
        <w:rPr>
          <w:sz w:val="24"/>
          <w:szCs w:val="24"/>
        </w:rPr>
        <w:t>industry:</w:t>
      </w:r>
      <w:proofErr w:type="gramEnd"/>
      <w:r w:rsidRPr="00F542BB">
        <w:rPr>
          <w:sz w:val="24"/>
          <w:szCs w:val="24"/>
        </w:rPr>
        <w:t xml:space="preserve"> the moderating role of size and age. Environment, Development and Sustainability, 24(4), 5052-5079.</w:t>
      </w:r>
    </w:p>
    <w:p w:rsidR="00F542BB" w:rsidRPr="00F542BB" w:rsidRDefault="00F542BB" w:rsidP="00F542BB">
      <w:pPr>
        <w:pStyle w:val="Paragraphedeliste"/>
        <w:numPr>
          <w:ilvl w:val="0"/>
          <w:numId w:val="24"/>
        </w:numPr>
        <w:adjustRightInd w:val="0"/>
        <w:ind w:rightChars="845" w:right="1859"/>
        <w:contextualSpacing/>
        <w:jc w:val="both"/>
        <w:rPr>
          <w:sz w:val="24"/>
          <w:szCs w:val="24"/>
        </w:rPr>
      </w:pPr>
      <w:r w:rsidRPr="00F542BB">
        <w:rPr>
          <w:sz w:val="24"/>
          <w:szCs w:val="24"/>
        </w:rPr>
        <w:t xml:space="preserve">Abid, S., &amp; Dammak, S. (2022). Corporate social responsibility and tax </w:t>
      </w:r>
      <w:proofErr w:type="gramStart"/>
      <w:r w:rsidRPr="00F542BB">
        <w:rPr>
          <w:sz w:val="24"/>
          <w:szCs w:val="24"/>
        </w:rPr>
        <w:t>avoidance:</w:t>
      </w:r>
      <w:proofErr w:type="gramEnd"/>
      <w:r w:rsidRPr="00F542BB">
        <w:rPr>
          <w:sz w:val="24"/>
          <w:szCs w:val="24"/>
        </w:rPr>
        <w:t xml:space="preserve"> the case of French companies. Journal of Financial Reporting and Accounting, 20(3/4), 618-638.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bCs/>
          <w:sz w:val="24"/>
          <w:szCs w:val="24"/>
          <w:shd w:val="clear" w:color="auto" w:fill="FFFFFF"/>
        </w:rPr>
        <w:t xml:space="preserve">Aly, D. A. R. M., Hasan, A., Obioru, B., &amp; Nakpodia, F. (2024). Corporate </w:t>
      </w:r>
      <w:r w:rsidRPr="00F542BB">
        <w:rPr>
          <w:bCs/>
          <w:sz w:val="24"/>
          <w:szCs w:val="24"/>
          <w:shd w:val="clear" w:color="auto" w:fill="FFFFFF"/>
        </w:rPr>
        <w:lastRenderedPageBreak/>
        <w:t xml:space="preserve">governance and environmental </w:t>
      </w:r>
      <w:proofErr w:type="gramStart"/>
      <w:r w:rsidRPr="00F542BB">
        <w:rPr>
          <w:bCs/>
          <w:sz w:val="24"/>
          <w:szCs w:val="24"/>
          <w:shd w:val="clear" w:color="auto" w:fill="FFFFFF"/>
        </w:rPr>
        <w:t>transparency:</w:t>
      </w:r>
      <w:proofErr w:type="gramEnd"/>
      <w:r w:rsidRPr="00F542BB">
        <w:rPr>
          <w:bCs/>
          <w:sz w:val="24"/>
          <w:szCs w:val="24"/>
          <w:shd w:val="clear" w:color="auto" w:fill="FFFFFF"/>
        </w:rPr>
        <w:t xml:space="preserve"> a comparative analysis. </w:t>
      </w:r>
      <w:r w:rsidRPr="00F542BB">
        <w:rPr>
          <w:bCs/>
          <w:i/>
          <w:iCs/>
          <w:sz w:val="24"/>
          <w:szCs w:val="24"/>
          <w:shd w:val="clear" w:color="auto" w:fill="FFFFFF"/>
        </w:rPr>
        <w:t xml:space="preserve">Corporate </w:t>
      </w:r>
      <w:proofErr w:type="gramStart"/>
      <w:r w:rsidRPr="00F542BB">
        <w:rPr>
          <w:bCs/>
          <w:i/>
          <w:iCs/>
          <w:sz w:val="24"/>
          <w:szCs w:val="24"/>
          <w:shd w:val="clear" w:color="auto" w:fill="FFFFFF"/>
        </w:rPr>
        <w:t>Governance:</w:t>
      </w:r>
      <w:proofErr w:type="gramEnd"/>
      <w:r w:rsidRPr="00F542BB">
        <w:rPr>
          <w:bCs/>
          <w:i/>
          <w:iCs/>
          <w:sz w:val="24"/>
          <w:szCs w:val="24"/>
          <w:shd w:val="clear" w:color="auto" w:fill="FFFFFF"/>
        </w:rPr>
        <w:t xml:space="preserve"> The International Journal of Business in Society</w:t>
      </w:r>
      <w:r w:rsidRPr="00F542BB">
        <w:rPr>
          <w:bCs/>
          <w:sz w:val="24"/>
          <w:szCs w:val="24"/>
          <w:shd w:val="clear" w:color="auto" w:fill="FFFFFF"/>
        </w:rPr>
        <w:t>, </w:t>
      </w:r>
      <w:r w:rsidRPr="00F542BB">
        <w:rPr>
          <w:bCs/>
          <w:i/>
          <w:iCs/>
          <w:sz w:val="24"/>
          <w:szCs w:val="24"/>
          <w:shd w:val="clear" w:color="auto" w:fill="FFFFFF"/>
        </w:rPr>
        <w:t>24</w:t>
      </w:r>
      <w:r w:rsidRPr="00F542BB">
        <w:rPr>
          <w:bCs/>
          <w:sz w:val="24"/>
          <w:szCs w:val="24"/>
          <w:shd w:val="clear" w:color="auto" w:fill="FFFFFF"/>
        </w:rPr>
        <w:t>(8), 210-236.</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Archel, P., Husillos, J., Larrinaga, C., &amp; Spence, C. (2009). Social disclosure, legitimacy theory and the role of the state. Accounting, auditing &amp; accountability journal, 22(8), 1284-1307.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Arrow, K. J. (1951). Alternative approaches to the theory of choice in risk-taking situations. </w:t>
      </w:r>
      <w:proofErr w:type="gramStart"/>
      <w:r w:rsidRPr="00F542BB">
        <w:rPr>
          <w:i/>
          <w:iCs/>
          <w:sz w:val="24"/>
          <w:szCs w:val="24"/>
        </w:rPr>
        <w:t>Econometrica:</w:t>
      </w:r>
      <w:proofErr w:type="gramEnd"/>
      <w:r w:rsidRPr="00F542BB">
        <w:rPr>
          <w:i/>
          <w:iCs/>
          <w:sz w:val="24"/>
          <w:szCs w:val="24"/>
        </w:rPr>
        <w:t xml:space="preserve"> Journal of the Econometric Society</w:t>
      </w:r>
      <w:r w:rsidRPr="00F542BB">
        <w:rPr>
          <w:sz w:val="24"/>
          <w:szCs w:val="24"/>
        </w:rPr>
        <w:t>, 404-437.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Bae, K. H., El Ghoul, S., Gong, Z. J., &amp; Guedhami, O. (2021). Does CSR matter in times of </w:t>
      </w:r>
      <w:proofErr w:type="gramStart"/>
      <w:r w:rsidRPr="00F542BB">
        <w:rPr>
          <w:sz w:val="24"/>
          <w:szCs w:val="24"/>
        </w:rPr>
        <w:t>crisis?</w:t>
      </w:r>
      <w:proofErr w:type="gramEnd"/>
      <w:r w:rsidRPr="00F542BB">
        <w:rPr>
          <w:sz w:val="24"/>
          <w:szCs w:val="24"/>
        </w:rPr>
        <w:t xml:space="preserve"> Evidence from the COVID-19 pandemic. Journal of Corporate Finance, 67, 101876.</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Benlemlih, M., Shaukat, A., Qiu, Y., &amp; Trojanowski, G. (2018). Environmental and social disclosures and firm risk. </w:t>
      </w:r>
      <w:r w:rsidRPr="00F542BB">
        <w:rPr>
          <w:i/>
          <w:iCs/>
          <w:sz w:val="24"/>
          <w:szCs w:val="24"/>
        </w:rPr>
        <w:t>Journal of business ethics</w:t>
      </w:r>
      <w:r w:rsidRPr="00F542BB">
        <w:rPr>
          <w:sz w:val="24"/>
          <w:szCs w:val="24"/>
        </w:rPr>
        <w:t>, </w:t>
      </w:r>
      <w:r w:rsidRPr="00F542BB">
        <w:rPr>
          <w:i/>
          <w:iCs/>
          <w:sz w:val="24"/>
          <w:szCs w:val="24"/>
        </w:rPr>
        <w:t>152</w:t>
      </w:r>
      <w:r w:rsidRPr="00F542BB">
        <w:rPr>
          <w:sz w:val="24"/>
          <w:szCs w:val="24"/>
        </w:rPr>
        <w:t>(3), 613-626.</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Bozanic, Z., Hoopes, J. L., Thornock, J. R., &amp; Williams, B. M. (2017). IRS attention. Journal of Accounting Research, 55(1), 79-114.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Bravo, F. (2017). Are risk disclosures an effective tool to increase firm </w:t>
      </w:r>
      <w:proofErr w:type="gramStart"/>
      <w:r w:rsidRPr="00F542BB">
        <w:rPr>
          <w:sz w:val="24"/>
          <w:szCs w:val="24"/>
        </w:rPr>
        <w:t>value?.</w:t>
      </w:r>
      <w:proofErr w:type="gramEnd"/>
      <w:r w:rsidRPr="00F542BB">
        <w:rPr>
          <w:sz w:val="24"/>
          <w:szCs w:val="24"/>
        </w:rPr>
        <w:t> Managerial and Decision Economics, 38(8), 1116-1124.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Cakici, N., Topyan, K., Cakici, N., &amp; Topyan, K. (2014). Book-to-market ratio. Risk and Return in Asian Emerging </w:t>
      </w:r>
      <w:proofErr w:type="gramStart"/>
      <w:r w:rsidRPr="00F542BB">
        <w:rPr>
          <w:sz w:val="24"/>
          <w:szCs w:val="24"/>
        </w:rPr>
        <w:t>Markets:</w:t>
      </w:r>
      <w:proofErr w:type="gramEnd"/>
      <w:r w:rsidRPr="00F542BB">
        <w:rPr>
          <w:sz w:val="24"/>
          <w:szCs w:val="24"/>
        </w:rPr>
        <w:t xml:space="preserve"> A Practitioner’s Guide, 121-133.</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Cen, L., Maydew, E. L., Zhang, L., &amp; Zuo, L. (2017). Customer–supplier relationships and corporate tax avoidance. Journal of Financial Economics, 123(2), 377-394.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Col, B., &amp; Patel, S. (2019). Going to </w:t>
      </w:r>
      <w:proofErr w:type="gramStart"/>
      <w:r w:rsidRPr="00F542BB">
        <w:rPr>
          <w:sz w:val="24"/>
          <w:szCs w:val="24"/>
        </w:rPr>
        <w:t>haven?</w:t>
      </w:r>
      <w:proofErr w:type="gramEnd"/>
      <w:r w:rsidRPr="00F542BB">
        <w:rPr>
          <w:sz w:val="24"/>
          <w:szCs w:val="24"/>
        </w:rPr>
        <w:t xml:space="preserve"> Corporate social responsibility and tax avoidance. Journal of Business Ethics, 154, 1033-1050.</w:t>
      </w:r>
    </w:p>
    <w:p w:rsidR="00F542BB" w:rsidRPr="00F542BB" w:rsidRDefault="00F542BB" w:rsidP="00F542BB">
      <w:pPr>
        <w:pStyle w:val="Paragraphedeliste"/>
        <w:numPr>
          <w:ilvl w:val="0"/>
          <w:numId w:val="24"/>
        </w:numPr>
        <w:adjustRightInd w:val="0"/>
        <w:ind w:rightChars="845" w:right="1859"/>
        <w:contextualSpacing/>
        <w:jc w:val="both"/>
        <w:rPr>
          <w:sz w:val="24"/>
          <w:szCs w:val="24"/>
        </w:rPr>
      </w:pPr>
      <w:r w:rsidRPr="00F542BB">
        <w:rPr>
          <w:sz w:val="24"/>
          <w:szCs w:val="24"/>
        </w:rPr>
        <w:t xml:space="preserve">Davis, A. K., Guenther, D. A., Krull, L. K., &amp; Williams, B. M. (2016). Do socially responsible firms pay more </w:t>
      </w:r>
      <w:proofErr w:type="gramStart"/>
      <w:r w:rsidRPr="00F542BB">
        <w:rPr>
          <w:sz w:val="24"/>
          <w:szCs w:val="24"/>
        </w:rPr>
        <w:t>taxes?.</w:t>
      </w:r>
      <w:proofErr w:type="gramEnd"/>
      <w:r w:rsidRPr="00F542BB">
        <w:rPr>
          <w:sz w:val="24"/>
          <w:szCs w:val="24"/>
        </w:rPr>
        <w:t> The accounting review, 91(1), 47-68.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Dewi, R. R., &amp; Gunawan, I. D. (2019). The implications of CSR and GCG on tax avoidance. Jurnal Akuntansi, 23(2), 195-212.</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Du, M., Chai, S., Wei, W., Wang, S., &amp; Li, Z. (2022). Will environmental transparency affect bank credit decisions and corporate debt financing </w:t>
      </w:r>
      <w:proofErr w:type="gramStart"/>
      <w:r w:rsidRPr="00F542BB">
        <w:rPr>
          <w:sz w:val="24"/>
          <w:szCs w:val="24"/>
        </w:rPr>
        <w:t>costs?</w:t>
      </w:r>
      <w:proofErr w:type="gramEnd"/>
      <w:r w:rsidRPr="00F542BB">
        <w:rPr>
          <w:sz w:val="24"/>
          <w:szCs w:val="24"/>
        </w:rPr>
        <w:t xml:space="preserve"> Evidence from China’s heavily polluting industries. Environmental Science and Pollution Research, 29(31), 47661-47672.</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Dyreng, S. D., Hanlon, M., &amp; Maydew, E. L. (2008). Long‐run corporate tax avoidance. The accounting review, 83(1), 61-82.</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Dyreng, S. D., Hanlon, M., &amp; Maydew, E. L. (2010). The effects of executives on corporate tax avoidance. </w:t>
      </w:r>
      <w:r w:rsidRPr="00F542BB">
        <w:rPr>
          <w:i/>
          <w:iCs/>
          <w:sz w:val="24"/>
          <w:szCs w:val="24"/>
        </w:rPr>
        <w:t>The accounting review</w:t>
      </w:r>
      <w:r w:rsidRPr="00F542BB">
        <w:rPr>
          <w:sz w:val="24"/>
          <w:szCs w:val="24"/>
        </w:rPr>
        <w:t>, </w:t>
      </w:r>
      <w:r w:rsidRPr="00F542BB">
        <w:rPr>
          <w:i/>
          <w:iCs/>
          <w:sz w:val="24"/>
          <w:szCs w:val="24"/>
        </w:rPr>
        <w:t>85</w:t>
      </w:r>
      <w:r w:rsidRPr="00F542BB">
        <w:rPr>
          <w:sz w:val="24"/>
          <w:szCs w:val="24"/>
        </w:rPr>
        <w:t>(4), 1163-1189.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Eddy, E. P. S., &amp; Angela, A. (2020). The impact analysis of return on asset, leverage and firm size to tax avoidance. Jurnal Akuntansi, 12(2), 256-264.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El Gammal, W., Yassine, N., Fakih, K., &amp; El-Kassar, A. N. (2020). The relationship between CSR and corporate governance moderated by performance and board of directors’ characteristics. </w:t>
      </w:r>
      <w:r w:rsidRPr="00F542BB">
        <w:rPr>
          <w:i/>
          <w:iCs/>
          <w:sz w:val="24"/>
          <w:szCs w:val="24"/>
        </w:rPr>
        <w:t>Journal of Management and Governance</w:t>
      </w:r>
      <w:r w:rsidRPr="00F542BB">
        <w:rPr>
          <w:sz w:val="24"/>
          <w:szCs w:val="24"/>
        </w:rPr>
        <w:t>, </w:t>
      </w:r>
      <w:r w:rsidRPr="00F542BB">
        <w:rPr>
          <w:i/>
          <w:iCs/>
          <w:sz w:val="24"/>
          <w:szCs w:val="24"/>
        </w:rPr>
        <w:t>24</w:t>
      </w:r>
      <w:r w:rsidRPr="00F542BB">
        <w:rPr>
          <w:sz w:val="24"/>
          <w:szCs w:val="24"/>
        </w:rPr>
        <w:t>(2), 411-430.</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Formigoni, H., Segura, L., &amp; Gallego-Álvarez, I. (2021). Board of directors </w:t>
      </w:r>
      <w:r w:rsidRPr="00F542BB">
        <w:rPr>
          <w:sz w:val="24"/>
          <w:szCs w:val="24"/>
        </w:rPr>
        <w:lastRenderedPageBreak/>
        <w:t xml:space="preserve">characteristics and disclosure practices of corporate social </w:t>
      </w:r>
      <w:proofErr w:type="gramStart"/>
      <w:r w:rsidRPr="00F542BB">
        <w:rPr>
          <w:sz w:val="24"/>
          <w:szCs w:val="24"/>
        </w:rPr>
        <w:t>responsibility:</w:t>
      </w:r>
      <w:proofErr w:type="gramEnd"/>
      <w:r w:rsidRPr="00F542BB">
        <w:rPr>
          <w:sz w:val="24"/>
          <w:szCs w:val="24"/>
        </w:rPr>
        <w:t xml:space="preserve"> a comparative study between Brazilian and Spanish companies. Social Responsibility Journal, 17(2), 282-298.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Fowowe, B. (2013), “Financial liberalization in sub-Saharan </w:t>
      </w:r>
      <w:proofErr w:type="gramStart"/>
      <w:r w:rsidRPr="00F542BB">
        <w:rPr>
          <w:sz w:val="24"/>
          <w:szCs w:val="24"/>
        </w:rPr>
        <w:t>Africa:</w:t>
      </w:r>
      <w:proofErr w:type="gramEnd"/>
      <w:r w:rsidRPr="00F542BB">
        <w:rPr>
          <w:sz w:val="24"/>
          <w:szCs w:val="24"/>
        </w:rPr>
        <w:t xml:space="preserve"> What do we know?”, Journal of Economic Surveys, Vol. 27 No. 1, pp. 1-37.</w:t>
      </w:r>
      <w:r w:rsidRPr="00F542BB">
        <w:rPr>
          <w:rFonts w:asciiTheme="majorBidi" w:hAnsiTheme="majorBidi" w:cstheme="majorBidi"/>
          <w:sz w:val="24"/>
          <w:szCs w:val="24"/>
        </w:rPr>
        <w:t xml:space="preserve"> </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Freeman, R. E. (1984). Strategic </w:t>
      </w:r>
      <w:proofErr w:type="gramStart"/>
      <w:r w:rsidRPr="00F542BB">
        <w:rPr>
          <w:sz w:val="24"/>
          <w:szCs w:val="24"/>
        </w:rPr>
        <w:t>management:</w:t>
      </w:r>
      <w:proofErr w:type="gramEnd"/>
      <w:r w:rsidRPr="00F542BB">
        <w:rPr>
          <w:sz w:val="24"/>
          <w:szCs w:val="24"/>
        </w:rPr>
        <w:t xml:space="preserve"> A stakeholder approach. Pitman.</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Gaaya, S., Lakhal, N., &amp; Lakhal, F. (2017). Does family ownership reduce corporate tax </w:t>
      </w:r>
      <w:proofErr w:type="gramStart"/>
      <w:r w:rsidRPr="00F542BB">
        <w:rPr>
          <w:sz w:val="24"/>
          <w:szCs w:val="24"/>
        </w:rPr>
        <w:t>avoidance?</w:t>
      </w:r>
      <w:proofErr w:type="gramEnd"/>
      <w:r w:rsidRPr="00F542BB">
        <w:rPr>
          <w:sz w:val="24"/>
          <w:szCs w:val="24"/>
        </w:rPr>
        <w:t xml:space="preserve"> The moderating effect of audit quality. Managerial Auditing Journal, 32(7), 731-744.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Gallemore, J., &amp; Labro, E. (2015). The importance of the internal information environment for tax avoidance. Journal of Accounting and Economics, 60(1), 149-167.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Giannarakis, G., Andronikidis, A., &amp; Sariannidis, N. (2020). Determinants of environmental </w:t>
      </w:r>
      <w:proofErr w:type="gramStart"/>
      <w:r w:rsidRPr="00F542BB">
        <w:rPr>
          <w:sz w:val="24"/>
          <w:szCs w:val="24"/>
        </w:rPr>
        <w:t>transparency:</w:t>
      </w:r>
      <w:proofErr w:type="gramEnd"/>
      <w:r w:rsidRPr="00F542BB">
        <w:rPr>
          <w:sz w:val="24"/>
          <w:szCs w:val="24"/>
        </w:rPr>
        <w:t xml:space="preserve"> investigating new and conventional corporate governance characteristics. Annals of Operations Research, 294(1), 87-105.</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Godfrey, P. C. (2005). The relationship between corporate philanthropy and shareholder </w:t>
      </w:r>
      <w:proofErr w:type="gramStart"/>
      <w:r w:rsidRPr="00F542BB">
        <w:rPr>
          <w:sz w:val="24"/>
          <w:szCs w:val="24"/>
        </w:rPr>
        <w:t>wealth:</w:t>
      </w:r>
      <w:proofErr w:type="gramEnd"/>
      <w:r w:rsidRPr="00F542BB">
        <w:rPr>
          <w:sz w:val="24"/>
          <w:szCs w:val="24"/>
        </w:rPr>
        <w:t xml:space="preserve"> A risk management perspective. Academy of management review, 30(4), 777-798.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Goh, B. W., Lee, J., Lim, C. Y., &amp; Shevlin, T. (2016). The effect of corporate tax avoidance on the cost of equity. The Accounting Review, 91(6), 1647-1670.</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Graham, J. R., &amp; Tucker, A. L. (2006). Tax shelters and corporate debt policy. Journal of financial economics, 81(3), 563-594.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Gu, Y., &amp; Wang, S. (2023). Environmental transparency and tax </w:t>
      </w:r>
      <w:proofErr w:type="gramStart"/>
      <w:r w:rsidRPr="00F542BB">
        <w:rPr>
          <w:sz w:val="24"/>
          <w:szCs w:val="24"/>
        </w:rPr>
        <w:t>avoidance:</w:t>
      </w:r>
      <w:proofErr w:type="gramEnd"/>
      <w:r w:rsidRPr="00F542BB">
        <w:rPr>
          <w:sz w:val="24"/>
          <w:szCs w:val="24"/>
        </w:rPr>
        <w:t xml:space="preserve"> Evidence from China. Heliyon, 9(11).</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Guedrib, M., &amp; Bougacha, F. (2024). The moderating effect of tax risk on the relationship between tax avoidance and firm </w:t>
      </w:r>
      <w:proofErr w:type="gramStart"/>
      <w:r w:rsidRPr="00F542BB">
        <w:rPr>
          <w:sz w:val="24"/>
          <w:szCs w:val="24"/>
        </w:rPr>
        <w:t>risk:</w:t>
      </w:r>
      <w:proofErr w:type="gramEnd"/>
      <w:r w:rsidRPr="00F542BB">
        <w:rPr>
          <w:sz w:val="24"/>
          <w:szCs w:val="24"/>
        </w:rPr>
        <w:t xml:space="preserve"> empirical evidence in the French context. International Journal of Law and Management, 66(4), 468-495.</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Gulzar, M. A., Cherian, J., Sial, M. S., Badulescu, A., Thu, P. A., Badulescu, D., &amp; Khuong, N. V. (2018). Does corporate social responsibility influence corporate tax avoidance of Chinese listed </w:t>
      </w:r>
      <w:proofErr w:type="gramStart"/>
      <w:r w:rsidRPr="00F542BB">
        <w:rPr>
          <w:sz w:val="24"/>
          <w:szCs w:val="24"/>
        </w:rPr>
        <w:t>companies?.</w:t>
      </w:r>
      <w:proofErr w:type="gramEnd"/>
      <w:r w:rsidRPr="00F542BB">
        <w:rPr>
          <w:sz w:val="24"/>
          <w:szCs w:val="24"/>
        </w:rPr>
        <w:t xml:space="preserve"> Sustainability, 10(12), 4549.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Hanlon, M., &amp; Heitzman, S. (2010). A review of tax research. Journal of accounting and Economics, 50(2-3), 127-178.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Hasan, I., Hoi, C. K. S., Wu, Q., &amp; Zhang, H. (2014). Beauty is in the eye of the </w:t>
      </w:r>
      <w:proofErr w:type="gramStart"/>
      <w:r w:rsidRPr="00F542BB">
        <w:rPr>
          <w:sz w:val="24"/>
          <w:szCs w:val="24"/>
        </w:rPr>
        <w:t>beholder:</w:t>
      </w:r>
      <w:proofErr w:type="gramEnd"/>
      <w:r w:rsidRPr="00F542BB">
        <w:rPr>
          <w:sz w:val="24"/>
          <w:szCs w:val="24"/>
        </w:rPr>
        <w:t xml:space="preserve"> The effect of corporate tax avoidance on the cost of bank loans. Journal of financial economics, 113(1), 109-130.</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Hermalin, B. E. (2001). Adverse selection, short-term contracting, and the underprovision of on-the-job training. Contributions in Economic Analysis &amp; Policy, 1(1), 1538-0645.</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Hoi, C. K., Wu, Q., &amp; Zhang, H. (2013). Is corporate social responsibility (CSR) associated with tax </w:t>
      </w:r>
      <w:proofErr w:type="gramStart"/>
      <w:r w:rsidRPr="00F542BB">
        <w:rPr>
          <w:sz w:val="24"/>
          <w:szCs w:val="24"/>
        </w:rPr>
        <w:t>avoidance?</w:t>
      </w:r>
      <w:proofErr w:type="gramEnd"/>
      <w:r w:rsidRPr="00F542BB">
        <w:rPr>
          <w:sz w:val="24"/>
          <w:szCs w:val="24"/>
        </w:rPr>
        <w:t xml:space="preserve"> Evidence from irresponsible CSR activities. The accounting review, 88(6), 2025-2059.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Hope, O. K., Ma, M. S., &amp; Thomas, W. B. (2013). Tax avoidance and geographic earnings disclosure. Journal of accounting and economics, 56(2-3), 170-189.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lastRenderedPageBreak/>
        <w:t xml:space="preserve">Hossain, M. S., Ali, M. S., Islam, M. Z., Ling, C. C., &amp; Fung, C. Y. (2024). Nexus between profitability, firm size and leverage and tax </w:t>
      </w:r>
      <w:proofErr w:type="gramStart"/>
      <w:r w:rsidRPr="00F542BB">
        <w:rPr>
          <w:sz w:val="24"/>
          <w:szCs w:val="24"/>
        </w:rPr>
        <w:t>avoidance:</w:t>
      </w:r>
      <w:proofErr w:type="gramEnd"/>
      <w:r w:rsidRPr="00F542BB">
        <w:rPr>
          <w:sz w:val="24"/>
          <w:szCs w:val="24"/>
        </w:rPr>
        <w:t xml:space="preserve"> evidence from an emerging economy. Asian Review of Accounting.</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Huseynov, F., &amp; Klamm, B. K. (2012). Tax avoidance, tax management and corporate social responsibility. Journal of Corporate Finance, 18(4), 804-827.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Huseynov, F., Sardarli, S., &amp; Zhang, W. (2017). Does index addition affect corporate tax </w:t>
      </w:r>
      <w:proofErr w:type="gramStart"/>
      <w:r w:rsidRPr="00F542BB">
        <w:rPr>
          <w:sz w:val="24"/>
          <w:szCs w:val="24"/>
        </w:rPr>
        <w:t>avoidance?.</w:t>
      </w:r>
      <w:proofErr w:type="gramEnd"/>
      <w:r w:rsidRPr="00F542BB">
        <w:rPr>
          <w:sz w:val="24"/>
          <w:szCs w:val="24"/>
        </w:rPr>
        <w:t xml:space="preserve"> Journal of Corporate Finance, 43, 241-259.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Kanagaretnam, K., Lee, J., Lim, C. Y., &amp; Lobo, G. (2018). Societal trust and corporate tax avoidance. Review of Accounting Studies, 23, 1588-1628.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Kennedy, P. (2003). Chapter </w:t>
      </w:r>
      <w:proofErr w:type="gramStart"/>
      <w:r w:rsidRPr="00F542BB">
        <w:rPr>
          <w:sz w:val="24"/>
          <w:szCs w:val="24"/>
        </w:rPr>
        <w:t>17:</w:t>
      </w:r>
      <w:proofErr w:type="gramEnd"/>
      <w:r w:rsidRPr="00F542BB">
        <w:rPr>
          <w:sz w:val="24"/>
          <w:szCs w:val="24"/>
        </w:rPr>
        <w:t xml:space="preserve"> Panel data. A Guide to Econometrics. 5th Edition. The MIT Press, Cambridge, MA.</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Konar, S., &amp; Cohen, M. A. (1997). Information as </w:t>
      </w:r>
      <w:proofErr w:type="gramStart"/>
      <w:r w:rsidRPr="00F542BB">
        <w:rPr>
          <w:sz w:val="24"/>
          <w:szCs w:val="24"/>
        </w:rPr>
        <w:t>regulation:</w:t>
      </w:r>
      <w:proofErr w:type="gramEnd"/>
      <w:r w:rsidRPr="00F542BB">
        <w:rPr>
          <w:sz w:val="24"/>
          <w:szCs w:val="24"/>
        </w:rPr>
        <w:t xml:space="preserve"> The effect of community right to know laws on toxic emissions. Journal of environmental Economics and Management, 32(1), 109-124.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Kovermann, J. H. (2018). Tax avoidance, tax risk and the cost of debt in a bank-dominated economy. Managerial Auditing Journal, 33(8/9), 683-699.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Kovermann, J., &amp; Velte, P. (2021). CSR and tax </w:t>
      </w:r>
      <w:proofErr w:type="gramStart"/>
      <w:r w:rsidRPr="00F542BB">
        <w:rPr>
          <w:sz w:val="24"/>
          <w:szCs w:val="24"/>
        </w:rPr>
        <w:t>avoidance:</w:t>
      </w:r>
      <w:proofErr w:type="gramEnd"/>
      <w:r w:rsidRPr="00F542BB">
        <w:rPr>
          <w:sz w:val="24"/>
          <w:szCs w:val="24"/>
        </w:rPr>
        <w:t xml:space="preserve"> A review of empirical research. Corporate Ownership and Control, 18(2), 20-39.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Kreps, D. M. (1996). Corporate Culture and Economic. Firms, Organizations and </w:t>
      </w:r>
      <w:proofErr w:type="gramStart"/>
      <w:r w:rsidRPr="00F542BB">
        <w:rPr>
          <w:sz w:val="24"/>
          <w:szCs w:val="24"/>
        </w:rPr>
        <w:t>Contracts:</w:t>
      </w:r>
      <w:proofErr w:type="gramEnd"/>
      <w:r w:rsidRPr="00F542BB">
        <w:rPr>
          <w:sz w:val="24"/>
          <w:szCs w:val="24"/>
        </w:rPr>
        <w:t xml:space="preserve"> A Reader in Industrial Organization, 221.</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Lanis, R., &amp; Richardson, G. (2012). Corporate social responsibility and tax </w:t>
      </w:r>
      <w:proofErr w:type="gramStart"/>
      <w:r w:rsidRPr="00F542BB">
        <w:rPr>
          <w:sz w:val="24"/>
          <w:szCs w:val="24"/>
        </w:rPr>
        <w:t>aggressiveness:</w:t>
      </w:r>
      <w:proofErr w:type="gramEnd"/>
      <w:r w:rsidRPr="00F542BB">
        <w:rPr>
          <w:sz w:val="24"/>
          <w:szCs w:val="24"/>
        </w:rPr>
        <w:t xml:space="preserve"> An empirical analysis. Journal of Accounting and Public policy, 31(1), 86-108.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Lanis, R., &amp; Richardson, G. (2015). Is corporate social responsibility performance associated with tax </w:t>
      </w:r>
      <w:proofErr w:type="gramStart"/>
      <w:r w:rsidRPr="00F542BB">
        <w:rPr>
          <w:sz w:val="24"/>
          <w:szCs w:val="24"/>
        </w:rPr>
        <w:t>avoidance?.</w:t>
      </w:r>
      <w:proofErr w:type="gramEnd"/>
      <w:r w:rsidRPr="00F542BB">
        <w:rPr>
          <w:sz w:val="24"/>
          <w:szCs w:val="24"/>
        </w:rPr>
        <w:t xml:space="preserve"> Journal of Business Ethics, 127, 439-457.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Lanis, R., &amp; Richardson, G. (2018). Outside directors, corporate social responsibility performance, and corporate tax </w:t>
      </w:r>
      <w:proofErr w:type="gramStart"/>
      <w:r w:rsidRPr="00F542BB">
        <w:rPr>
          <w:sz w:val="24"/>
          <w:szCs w:val="24"/>
        </w:rPr>
        <w:t>aggressiveness:</w:t>
      </w:r>
      <w:proofErr w:type="gramEnd"/>
      <w:r w:rsidRPr="00F542BB">
        <w:rPr>
          <w:sz w:val="24"/>
          <w:szCs w:val="24"/>
        </w:rPr>
        <w:t xml:space="preserve"> An empirical analysis. Journal of Accounting, Auditing &amp; Finance, 33(2), 228-251.</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Li, J., Yi, X., Shi, W., &amp; Zhang, D. (2018, July). Do CSR awards motivate award winners' competitors to undertake CSR </w:t>
      </w:r>
      <w:proofErr w:type="gramStart"/>
      <w:r w:rsidRPr="00F542BB">
        <w:rPr>
          <w:sz w:val="24"/>
          <w:szCs w:val="24"/>
        </w:rPr>
        <w:t>activities?.</w:t>
      </w:r>
      <w:proofErr w:type="gramEnd"/>
      <w:r w:rsidRPr="00F542BB">
        <w:rPr>
          <w:sz w:val="24"/>
          <w:szCs w:val="24"/>
        </w:rPr>
        <w:t xml:space="preserve"> In Academy of management proceedings (Vol. 2018, No. 1, p. 14718). Briarcliff Manor, NY </w:t>
      </w:r>
      <w:proofErr w:type="gramStart"/>
      <w:r w:rsidRPr="00F542BB">
        <w:rPr>
          <w:sz w:val="24"/>
          <w:szCs w:val="24"/>
        </w:rPr>
        <w:t>10510:</w:t>
      </w:r>
      <w:proofErr w:type="gramEnd"/>
      <w:r w:rsidRPr="00F542BB">
        <w:rPr>
          <w:sz w:val="24"/>
          <w:szCs w:val="24"/>
        </w:rPr>
        <w:t xml:space="preserve"> Academy of Management.</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Li, N., Shevlin, T., &amp; Zhang, W. (2022). Managerial career concerns and corporate tax </w:t>
      </w:r>
      <w:proofErr w:type="gramStart"/>
      <w:r w:rsidRPr="00F542BB">
        <w:rPr>
          <w:sz w:val="24"/>
          <w:szCs w:val="24"/>
        </w:rPr>
        <w:t>avoidance:</w:t>
      </w:r>
      <w:proofErr w:type="gramEnd"/>
      <w:r w:rsidRPr="00F542BB">
        <w:rPr>
          <w:sz w:val="24"/>
          <w:szCs w:val="24"/>
        </w:rPr>
        <w:t xml:space="preserve"> Evidence from the inevitable disclosure doctrine. Contemporary Accounting Research, 39(1), 7-49.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Luo, W., Guo, X., Zhong, S., &amp; Wang, J. (2019). Environmental transparency quality, media attention and debt financing </w:t>
      </w:r>
      <w:proofErr w:type="gramStart"/>
      <w:r w:rsidRPr="00F542BB">
        <w:rPr>
          <w:sz w:val="24"/>
          <w:szCs w:val="24"/>
        </w:rPr>
        <w:t>costs:</w:t>
      </w:r>
      <w:proofErr w:type="gramEnd"/>
      <w:r w:rsidRPr="00F542BB">
        <w:rPr>
          <w:sz w:val="24"/>
          <w:szCs w:val="24"/>
        </w:rPr>
        <w:t xml:space="preserve"> Evidence from Chinese heavy polluting listed companies. Journal of Cleaner Production, 231, 268-277.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Meng, J., &amp; Zhang, Z. (2022). Corporate environmental transparency and investor </w:t>
      </w:r>
      <w:proofErr w:type="gramStart"/>
      <w:r w:rsidRPr="00F542BB">
        <w:rPr>
          <w:sz w:val="24"/>
          <w:szCs w:val="24"/>
        </w:rPr>
        <w:t>response:</w:t>
      </w:r>
      <w:proofErr w:type="gramEnd"/>
      <w:r w:rsidRPr="00F542BB">
        <w:rPr>
          <w:sz w:val="24"/>
          <w:szCs w:val="24"/>
        </w:rPr>
        <w:t xml:space="preserve"> Evidence from China's capital market. Energy Economics, 108, 105886.</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Minnick, K., &amp; Noga, T. (2010). Do corporate governance characteristics influence tax </w:t>
      </w:r>
      <w:proofErr w:type="gramStart"/>
      <w:r w:rsidRPr="00F542BB">
        <w:rPr>
          <w:sz w:val="24"/>
          <w:szCs w:val="24"/>
        </w:rPr>
        <w:t>management?.</w:t>
      </w:r>
      <w:proofErr w:type="gramEnd"/>
      <w:r w:rsidRPr="00F542BB">
        <w:rPr>
          <w:sz w:val="24"/>
          <w:szCs w:val="24"/>
        </w:rPr>
        <w:t xml:space="preserve"> Journal of corporate finance, 16(5), 703-718.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Minor, D., &amp; Morgan, J. (2011). CSR as reputation </w:t>
      </w:r>
      <w:proofErr w:type="gramStart"/>
      <w:r w:rsidRPr="00F542BB">
        <w:rPr>
          <w:sz w:val="24"/>
          <w:szCs w:val="24"/>
        </w:rPr>
        <w:t>insurance:</w:t>
      </w:r>
      <w:proofErr w:type="gramEnd"/>
      <w:r w:rsidRPr="00F542BB">
        <w:rPr>
          <w:sz w:val="24"/>
          <w:szCs w:val="24"/>
        </w:rPr>
        <w:t xml:space="preserve"> Primum non </w:t>
      </w:r>
      <w:r w:rsidRPr="00F542BB">
        <w:rPr>
          <w:sz w:val="24"/>
          <w:szCs w:val="24"/>
        </w:rPr>
        <w:lastRenderedPageBreak/>
        <w:t>nocere. California management review, 53(3), 40-59.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Rakia, R., Kachouri, M., &amp; Jarboui, A. (2024). The moderating effect of women directors on the relationship between corporate social responsibility and corporate tax </w:t>
      </w:r>
      <w:proofErr w:type="gramStart"/>
      <w:r w:rsidRPr="00F542BB">
        <w:rPr>
          <w:sz w:val="24"/>
          <w:szCs w:val="24"/>
        </w:rPr>
        <w:t>avoidance?</w:t>
      </w:r>
      <w:proofErr w:type="gramEnd"/>
      <w:r w:rsidRPr="00F542BB">
        <w:rPr>
          <w:sz w:val="24"/>
          <w:szCs w:val="24"/>
        </w:rPr>
        <w:t xml:space="preserve"> Evidence from Malaysia. Journal of Accounting in Emerging Economies, 14(1), 1-24.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Rashid, M. H. U., Begum, F., Hossain, S. Z., &amp; Said, J. (2024). Does CSR affect tax </w:t>
      </w:r>
      <w:proofErr w:type="gramStart"/>
      <w:r w:rsidRPr="00F542BB">
        <w:rPr>
          <w:sz w:val="24"/>
          <w:szCs w:val="24"/>
        </w:rPr>
        <w:t>avoidance?</w:t>
      </w:r>
      <w:proofErr w:type="gramEnd"/>
      <w:r w:rsidRPr="00F542BB">
        <w:rPr>
          <w:sz w:val="24"/>
          <w:szCs w:val="24"/>
        </w:rPr>
        <w:t xml:space="preserve"> Moderating role of political connections in Bangladesh banking sector. Social Responsibility Journal, 20(4), 719-739.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Ren, X., Li, Y., Shahbaz, M., Dong, K., &amp; Lu, Z. (2022). Climate risk and corporate environmental </w:t>
      </w:r>
      <w:proofErr w:type="gramStart"/>
      <w:r w:rsidRPr="00F542BB">
        <w:rPr>
          <w:sz w:val="24"/>
          <w:szCs w:val="24"/>
        </w:rPr>
        <w:t>performance:</w:t>
      </w:r>
      <w:proofErr w:type="gramEnd"/>
      <w:r w:rsidRPr="00F542BB">
        <w:rPr>
          <w:sz w:val="24"/>
          <w:szCs w:val="24"/>
        </w:rPr>
        <w:t xml:space="preserve"> Empirical evidence from China. Sustainable Production and Consumption, 30, 467-477.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Richardson, G., &amp; Lanis, R. (2007). Determinants of the variability in corporate effective tax rates and tax </w:t>
      </w:r>
      <w:proofErr w:type="gramStart"/>
      <w:r w:rsidRPr="00F542BB">
        <w:rPr>
          <w:sz w:val="24"/>
          <w:szCs w:val="24"/>
        </w:rPr>
        <w:t>reform:</w:t>
      </w:r>
      <w:proofErr w:type="gramEnd"/>
      <w:r w:rsidRPr="00F542BB">
        <w:rPr>
          <w:sz w:val="24"/>
          <w:szCs w:val="24"/>
        </w:rPr>
        <w:t xml:space="preserve"> Evidence from Australia. Journal of accounting and public policy, 26(6), 689-704.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Rudyanto, A., &amp; Pirzada, K. (2021). The role of sustainability reporting in shareholder perception of tax avoidance. Social Responsibility Journal, 17(5), 669-685.</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Santoso, E. B., Laturette, K., &amp; Mastan, S. A. (2020, December). The Association between Sustainability Reporting, Assurance and Earnings </w:t>
      </w:r>
      <w:proofErr w:type="gramStart"/>
      <w:r w:rsidRPr="00F542BB">
        <w:rPr>
          <w:sz w:val="24"/>
          <w:szCs w:val="24"/>
        </w:rPr>
        <w:t>Management:</w:t>
      </w:r>
      <w:proofErr w:type="gramEnd"/>
      <w:r w:rsidRPr="00F542BB">
        <w:rPr>
          <w:sz w:val="24"/>
          <w:szCs w:val="24"/>
        </w:rPr>
        <w:t xml:space="preserve"> Evidence from Malaysia1. In RSEP CONFERENCES (p. 248).</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Sari, D., &amp; Tjen, C. (2016). Corporate social responsibility disclosure, environmental performance, and tax aggressiveness. International Research Journal of business studies, 9(2), 93-104.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Sarkar, J., &amp; Sarkar, S. (2000). Large shareholder activism in corporate governance in developing </w:t>
      </w:r>
      <w:proofErr w:type="gramStart"/>
      <w:r w:rsidRPr="00F542BB">
        <w:rPr>
          <w:sz w:val="24"/>
          <w:szCs w:val="24"/>
        </w:rPr>
        <w:t>countries:</w:t>
      </w:r>
      <w:proofErr w:type="gramEnd"/>
      <w:r w:rsidRPr="00F542BB">
        <w:rPr>
          <w:sz w:val="24"/>
          <w:szCs w:val="24"/>
        </w:rPr>
        <w:t xml:space="preserve"> Evidence from India. International Review of finance, 1(3), 161-194.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Schein, E. H. (1985). Defining organizational culture. Classics of organization theory, 3(1), 490-502.</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Shocker, A. D., &amp; Sethi, S. P. (1973). An approach to incorporating societal preferences in developing corporate action strategies. California management review, 15(4), 97-105.</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Silaban, A. C., &amp; Purba, H. (2020). The Effect Of Corporate Social Responsibility Disclosure And Corporate Governance On Tax Avoidance. EPRA International Journal of Multidisciplinary Research (IJMR), 6(1), 23-34.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Solikhah, B., &amp; Maulina, U. (2021). Factors influencing environment disclosure quality and the moderating role of corporate governance. Cogent Business &amp; Management, 8(1), 1876543.</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Velte, P. (2021). Environmental performance, carbon performance and earnings </w:t>
      </w:r>
      <w:proofErr w:type="gramStart"/>
      <w:r w:rsidRPr="00F542BB">
        <w:rPr>
          <w:sz w:val="24"/>
          <w:szCs w:val="24"/>
        </w:rPr>
        <w:t>management:</w:t>
      </w:r>
      <w:proofErr w:type="gramEnd"/>
      <w:r w:rsidRPr="00F542BB">
        <w:rPr>
          <w:sz w:val="24"/>
          <w:szCs w:val="24"/>
        </w:rPr>
        <w:t xml:space="preserve"> Empirical evidence for the European capital market. Corporate Social Responsibility and Environmental Management, 28(1), 42-53.</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Wang, F., Xu, S., Sun, J., &amp; Cullinan, C. P. (2020). Corporate tax </w:t>
      </w:r>
      <w:proofErr w:type="gramStart"/>
      <w:r w:rsidRPr="00F542BB">
        <w:rPr>
          <w:sz w:val="24"/>
          <w:szCs w:val="24"/>
        </w:rPr>
        <w:t>avoidance:</w:t>
      </w:r>
      <w:proofErr w:type="gramEnd"/>
      <w:r w:rsidRPr="00F542BB">
        <w:rPr>
          <w:sz w:val="24"/>
          <w:szCs w:val="24"/>
        </w:rPr>
        <w:t xml:space="preserve"> A literature review and research agenda. Journal of Economic Surveys, 34(4), 793-811.</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lastRenderedPageBreak/>
        <w:t>Watson, L. (2015). Corporate social responsibility, tax avoidance, and earnings performance. The Journal of the American Taxation Association, 37(2), 1-21.</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Weisbach, D. A. (2002). An economic analysis of anti‐tax‐avoidance doctrines. American Law and Economics Review, 4(1), 88-115.</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Xu, S., Wang, F., Cullinan, C. P., &amp; Dong, N. (2022). Corporate tax avoidance and corporate social responsibility disclosure </w:t>
      </w:r>
      <w:proofErr w:type="gramStart"/>
      <w:r w:rsidRPr="00F542BB">
        <w:rPr>
          <w:sz w:val="24"/>
          <w:szCs w:val="24"/>
        </w:rPr>
        <w:t>readability:</w:t>
      </w:r>
      <w:proofErr w:type="gramEnd"/>
      <w:r w:rsidRPr="00F542BB">
        <w:rPr>
          <w:sz w:val="24"/>
          <w:szCs w:val="24"/>
        </w:rPr>
        <w:t xml:space="preserve"> Evidence from China. Australian accounting review, 32(2), 267-289.</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Zeng, T. (2019). Relationship between corporate social responsibility and tax </w:t>
      </w:r>
      <w:proofErr w:type="gramStart"/>
      <w:r w:rsidRPr="00F542BB">
        <w:rPr>
          <w:sz w:val="24"/>
          <w:szCs w:val="24"/>
        </w:rPr>
        <w:t>avoidance:</w:t>
      </w:r>
      <w:proofErr w:type="gramEnd"/>
      <w:r w:rsidRPr="00F542BB">
        <w:rPr>
          <w:sz w:val="24"/>
          <w:szCs w:val="24"/>
        </w:rPr>
        <w:t xml:space="preserve"> international evidence. Social Responsibility Journal, 15(2), 244-257.</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Zhang, L., Mol, A. P., &amp; He, G. (2016). Transparency and information disclosure in China's environmental governance. Current Opinion in Environmental Sustainability, 18, 17-24.</w:t>
      </w:r>
    </w:p>
    <w:p w:rsidR="00F542BB" w:rsidRPr="00F542BB" w:rsidRDefault="00F542BB" w:rsidP="00F542BB">
      <w:pPr>
        <w:pStyle w:val="Paragraphedeliste"/>
        <w:numPr>
          <w:ilvl w:val="0"/>
          <w:numId w:val="24"/>
        </w:numPr>
        <w:adjustRightInd w:val="0"/>
        <w:ind w:rightChars="845" w:right="1859"/>
        <w:contextualSpacing/>
        <w:jc w:val="both"/>
        <w:rPr>
          <w:rFonts w:asciiTheme="majorBidi" w:hAnsiTheme="majorBidi" w:cstheme="majorBidi"/>
          <w:sz w:val="24"/>
          <w:szCs w:val="24"/>
        </w:rPr>
      </w:pPr>
      <w:r w:rsidRPr="00F542BB">
        <w:rPr>
          <w:sz w:val="24"/>
          <w:szCs w:val="24"/>
        </w:rPr>
        <w:t xml:space="preserve">Zimmerman, J. L. (1983). Taxes and firm size. Journal of accounting and economics, 5, 119-149. </w:t>
      </w:r>
    </w:p>
    <w:sectPr w:rsidR="00F542BB" w:rsidRPr="00F542BB">
      <w:pgSz w:w="11910" w:h="16840"/>
      <w:pgMar w:top="2000" w:right="566" w:bottom="1480" w:left="992" w:header="591" w:footer="12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EC9" w:rsidRDefault="00A45EC9">
      <w:r>
        <w:separator/>
      </w:r>
    </w:p>
  </w:endnote>
  <w:endnote w:type="continuationSeparator" w:id="0">
    <w:p w:rsidR="00A45EC9" w:rsidRDefault="00A4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90" w:rsidRDefault="00931690">
    <w:pPr>
      <w:pStyle w:val="Corpsdetexte"/>
      <w:spacing w:line="14" w:lineRule="auto"/>
      <w:rPr>
        <w:sz w:val="20"/>
      </w:rPr>
    </w:pPr>
    <w:r>
      <w:rPr>
        <w:noProof/>
        <w:sz w:val="20"/>
      </w:rPr>
      <mc:AlternateContent>
        <mc:Choice Requires="wps">
          <w:drawing>
            <wp:anchor distT="0" distB="0" distL="0" distR="0" simplePos="0" relativeHeight="486417920" behindDoc="1" locked="0" layoutInCell="1" allowOverlap="1">
              <wp:simplePos x="0" y="0"/>
              <wp:positionH relativeFrom="page">
                <wp:posOffset>882700</wp:posOffset>
              </wp:positionH>
              <wp:positionV relativeFrom="page">
                <wp:posOffset>9698431</wp:posOffset>
              </wp:positionV>
              <wp:extent cx="5788025" cy="565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8025" cy="56515"/>
                      </a:xfrm>
                      <a:custGeom>
                        <a:avLst/>
                        <a:gdLst/>
                        <a:ahLst/>
                        <a:cxnLst/>
                        <a:rect l="l" t="t" r="r" b="b"/>
                        <a:pathLst>
                          <a:path w="5788025" h="56515">
                            <a:moveTo>
                              <a:pt x="5787517" y="47244"/>
                            </a:moveTo>
                            <a:lnTo>
                              <a:pt x="0" y="47244"/>
                            </a:lnTo>
                            <a:lnTo>
                              <a:pt x="0" y="56388"/>
                            </a:lnTo>
                            <a:lnTo>
                              <a:pt x="5787517" y="56388"/>
                            </a:lnTo>
                            <a:lnTo>
                              <a:pt x="5787517" y="47244"/>
                            </a:lnTo>
                            <a:close/>
                          </a:path>
                          <a:path w="5788025" h="56515">
                            <a:moveTo>
                              <a:pt x="5787517" y="0"/>
                            </a:moveTo>
                            <a:lnTo>
                              <a:pt x="0" y="0"/>
                            </a:lnTo>
                            <a:lnTo>
                              <a:pt x="0" y="38100"/>
                            </a:lnTo>
                            <a:lnTo>
                              <a:pt x="5787517" y="38100"/>
                            </a:lnTo>
                            <a:lnTo>
                              <a:pt x="5787517"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4B3EE6DA" id="Graphic 3" o:spid="_x0000_s1026" style="position:absolute;margin-left:69.5pt;margin-top:763.65pt;width:455.75pt;height:4.45pt;z-index:-16898560;visibility:visible;mso-wrap-style:square;mso-wrap-distance-left:0;mso-wrap-distance-top:0;mso-wrap-distance-right:0;mso-wrap-distance-bottom:0;mso-position-horizontal:absolute;mso-position-horizontal-relative:page;mso-position-vertical:absolute;mso-position-vertical-relative:page;v-text-anchor:top" coordsize="578802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" path="m5787517,47244l,47244r,9144l5787517,56388r,-9144xem5787517,l,,,38100r5787517,l5787517,xe" fillcolor="#612322" stroked="f">
              <v:path arrowok="t"/>
              <w10:wrap anchorx="page" anchory="page"/>
            </v:shape>
          </w:pict>
        </mc:Fallback>
      </mc:AlternateContent>
    </w:r>
    <w:r>
      <w:rPr>
        <w:noProof/>
        <w:sz w:val="20"/>
      </w:rPr>
      <mc:AlternateContent>
        <mc:Choice Requires="wps">
          <w:drawing>
            <wp:anchor distT="0" distB="0" distL="0" distR="0" simplePos="0" relativeHeight="486418432" behindDoc="1" locked="0" layoutInCell="1" allowOverlap="1">
              <wp:simplePos x="0" y="0"/>
              <wp:positionH relativeFrom="page">
                <wp:posOffset>888288</wp:posOffset>
              </wp:positionH>
              <wp:positionV relativeFrom="page">
                <wp:posOffset>9756388</wp:posOffset>
              </wp:positionV>
              <wp:extent cx="2344420" cy="3308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330835"/>
                      </a:xfrm>
                      <a:prstGeom prst="rect">
                        <a:avLst/>
                      </a:prstGeom>
                    </wps:spPr>
                    <wps:txbx>
                      <w:txbxContent>
                        <w:p w:rsidR="00931690" w:rsidRDefault="00931690">
                          <w:pPr>
                            <w:spacing w:line="249" w:lineRule="exact"/>
                            <w:ind w:left="2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931690" w:rsidRDefault="00931690">
                          <w:pPr>
                            <w:spacing w:line="255" w:lineRule="exact"/>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69.95pt;margin-top:768.2pt;width:184.6pt;height:26.05pt;z-index:-1689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" filled="f" stroked="f">
              <v:textbox inset="0,0,0,0">
                <w:txbxContent>
                  <w:p w:rsidR="00931690" w:rsidRDefault="00931690">
                    <w:pPr>
                      <w:spacing w:line="249" w:lineRule="exact"/>
                      <w:ind w:left="2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931690" w:rsidRDefault="00931690">
                    <w:pPr>
                      <w:spacing w:line="255" w:lineRule="exact"/>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txbxContent>
              </v:textbox>
              <w10:wrap anchorx="page" anchory="page"/>
            </v:shape>
          </w:pict>
        </mc:Fallback>
      </mc:AlternateContent>
    </w:r>
    <w:r>
      <w:rPr>
        <w:noProof/>
        <w:sz w:val="20"/>
      </w:rPr>
      <mc:AlternateContent>
        <mc:Choice Requires="wps">
          <w:drawing>
            <wp:anchor distT="0" distB="0" distL="0" distR="0" simplePos="0" relativeHeight="486418944" behindDoc="1" locked="0" layoutInCell="1" allowOverlap="1">
              <wp:simplePos x="0" y="0"/>
              <wp:positionH relativeFrom="page">
                <wp:posOffset>3258439</wp:posOffset>
              </wp:positionH>
              <wp:positionV relativeFrom="page">
                <wp:posOffset>9908788</wp:posOffset>
              </wp:positionV>
              <wp:extent cx="1047115" cy="1784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7115" cy="178435"/>
                      </a:xfrm>
                      <a:prstGeom prst="rect">
                        <a:avLst/>
                      </a:prstGeom>
                    </wps:spPr>
                    <wps:txbx>
                      <w:txbxContent>
                        <w:p w:rsidR="00931690" w:rsidRDefault="00A45EC9">
                          <w:pPr>
                            <w:spacing w:line="264" w:lineRule="exact"/>
                            <w:ind w:left="20"/>
                            <w:rPr>
                              <w:rFonts w:ascii="Palatino Linotype"/>
                              <w:b/>
                              <w:sz w:val="20"/>
                            </w:rPr>
                          </w:pPr>
                          <w:hyperlink r:id="rId1">
                            <w:r w:rsidR="00931690">
                              <w:rPr>
                                <w:rFonts w:ascii="Palatino Linotype"/>
                                <w:b/>
                                <w:color w:val="0000FF"/>
                                <w:spacing w:val="-2"/>
                                <w:sz w:val="20"/>
                                <w:u w:val="single" w:color="0000FF"/>
                              </w:rPr>
                              <w:t>www.rimege.com</w:t>
                            </w:r>
                          </w:hyperlink>
                        </w:p>
                      </w:txbxContent>
                    </wps:txbx>
                    <wps:bodyPr wrap="square" lIns="0" tIns="0" rIns="0" bIns="0" rtlCol="0">
                      <a:noAutofit/>
                    </wps:bodyPr>
                  </wps:wsp>
                </a:graphicData>
              </a:graphic>
            </wp:anchor>
          </w:drawing>
        </mc:Choice>
        <mc:Fallback>
          <w:pict>
            <v:shape id="Textbox 5" o:spid="_x0000_s1028" type="#_x0000_t202" style="position:absolute;margin-left:256.55pt;margin-top:780.2pt;width:82.45pt;height:14.05pt;z-index:-168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" filled="f" stroked="f">
              <v:textbox inset="0,0,0,0">
                <w:txbxContent>
                  <w:p w:rsidR="00931690" w:rsidRDefault="00931690">
                    <w:pPr>
                      <w:spacing w:line="264" w:lineRule="exact"/>
                      <w:ind w:left="20"/>
                      <w:rPr>
                        <w:rFonts w:ascii="Palatino Linotype"/>
                        <w:b/>
                        <w:sz w:val="20"/>
                      </w:rPr>
                    </w:pPr>
                    <w:hyperlink r:id="rId2">
                      <w:r>
                        <w:rPr>
                          <w:rFonts w:ascii="Palatino Linotype"/>
                          <w:b/>
                          <w:color w:val="0000FF"/>
                          <w:spacing w:val="-2"/>
                          <w:sz w:val="20"/>
                          <w:u w:val="single" w:color="0000FF"/>
                        </w:rPr>
                        <w:t>www.rimege.com</w:t>
                      </w:r>
                    </w:hyperlink>
                  </w:p>
                </w:txbxContent>
              </v:textbox>
              <w10:wrap anchorx="page" anchory="page"/>
            </v:shape>
          </w:pict>
        </mc:Fallback>
      </mc:AlternateContent>
    </w:r>
    <w:r>
      <w:rPr>
        <w:noProof/>
        <w:sz w:val="20"/>
      </w:rPr>
      <mc:AlternateContent>
        <mc:Choice Requires="wps">
          <w:drawing>
            <wp:anchor distT="0" distB="0" distL="0" distR="0" simplePos="0" relativeHeight="486419456" behindDoc="1" locked="0" layoutInCell="1" allowOverlap="1">
              <wp:simplePos x="0" y="0"/>
              <wp:positionH relativeFrom="page">
                <wp:posOffset>6110478</wp:posOffset>
              </wp:positionH>
              <wp:positionV relativeFrom="page">
                <wp:posOffset>9908788</wp:posOffset>
              </wp:positionV>
              <wp:extent cx="461645" cy="1784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78435"/>
                      </a:xfrm>
                      <a:prstGeom prst="rect">
                        <a:avLst/>
                      </a:prstGeom>
                    </wps:spPr>
                    <wps:txbx>
                      <w:txbxContent>
                        <w:p w:rsidR="00931690" w:rsidRDefault="00931690">
                          <w:pPr>
                            <w:spacing w:line="264" w:lineRule="exact"/>
                            <w:ind w:left="20"/>
                            <w:rPr>
                              <w:rFonts w:ascii="Palatino Linotype"/>
                              <w:b/>
                              <w:sz w:val="20"/>
                            </w:rPr>
                          </w:pPr>
                          <w:r>
                            <w:rPr>
                              <w:rFonts w:ascii="Palatino Linotype"/>
                              <w:b/>
                              <w:sz w:val="20"/>
                            </w:rPr>
                            <w:t>Page</w:t>
                          </w:r>
                          <w:r>
                            <w:rPr>
                              <w:rFonts w:ascii="Palatino Linotype"/>
                              <w:b/>
                              <w:spacing w:val="-3"/>
                              <w:sz w:val="20"/>
                            </w:rPr>
                            <w:t xml:space="preserve"> </w:t>
                          </w:r>
                          <w:r>
                            <w:rPr>
                              <w:rFonts w:ascii="Palatino Linotype"/>
                              <w:b/>
                              <w:spacing w:val="-5"/>
                              <w:sz w:val="20"/>
                            </w:rPr>
                            <w:fldChar w:fldCharType="begin"/>
                          </w:r>
                          <w:r>
                            <w:rPr>
                              <w:rFonts w:ascii="Palatino Linotype"/>
                              <w:b/>
                              <w:spacing w:val="-5"/>
                              <w:sz w:val="20"/>
                            </w:rPr>
                            <w:instrText xml:space="preserve"> PAGE </w:instrText>
                          </w:r>
                          <w:r>
                            <w:rPr>
                              <w:rFonts w:ascii="Palatino Linotype"/>
                              <w:b/>
                              <w:spacing w:val="-5"/>
                              <w:sz w:val="20"/>
                            </w:rPr>
                            <w:fldChar w:fldCharType="separate"/>
                          </w:r>
                          <w:r>
                            <w:rPr>
                              <w:rFonts w:ascii="Palatino Linotype"/>
                              <w:b/>
                              <w:spacing w:val="-5"/>
                              <w:sz w:val="20"/>
                            </w:rPr>
                            <w:t>10</w:t>
                          </w:r>
                          <w:r>
                            <w:rPr>
                              <w:rFonts w:ascii="Palatino Linotype"/>
                              <w:b/>
                              <w:spacing w:val="-5"/>
                              <w:sz w:val="20"/>
                            </w:rPr>
                            <w:fldChar w:fldCharType="end"/>
                          </w:r>
                        </w:p>
                      </w:txbxContent>
                    </wps:txbx>
                    <wps:bodyPr wrap="square" lIns="0" tIns="0" rIns="0" bIns="0" rtlCol="0">
                      <a:noAutofit/>
                    </wps:bodyPr>
                  </wps:wsp>
                </a:graphicData>
              </a:graphic>
            </wp:anchor>
          </w:drawing>
        </mc:Choice>
        <mc:Fallback>
          <w:pict>
            <v:shape id="Textbox 6" o:spid="_x0000_s1029" type="#_x0000_t202" style="position:absolute;margin-left:481.15pt;margin-top:780.2pt;width:36.35pt;height:14.05pt;z-index:-1689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" filled="f" stroked="f">
              <v:textbox inset="0,0,0,0">
                <w:txbxContent>
                  <w:p w:rsidR="00931690" w:rsidRDefault="00931690">
                    <w:pPr>
                      <w:spacing w:line="264" w:lineRule="exact"/>
                      <w:ind w:left="20"/>
                      <w:rPr>
                        <w:rFonts w:ascii="Palatino Linotype"/>
                        <w:b/>
                        <w:sz w:val="20"/>
                      </w:rPr>
                    </w:pPr>
                    <w:r>
                      <w:rPr>
                        <w:rFonts w:ascii="Palatino Linotype"/>
                        <w:b/>
                        <w:sz w:val="20"/>
                      </w:rPr>
                      <w:t>Page</w:t>
                    </w:r>
                    <w:r>
                      <w:rPr>
                        <w:rFonts w:ascii="Palatino Linotype"/>
                        <w:b/>
                        <w:spacing w:val="-3"/>
                        <w:sz w:val="20"/>
                      </w:rPr>
                      <w:t xml:space="preserve"> </w:t>
                    </w:r>
                    <w:r>
                      <w:rPr>
                        <w:rFonts w:ascii="Palatino Linotype"/>
                        <w:b/>
                        <w:spacing w:val="-5"/>
                        <w:sz w:val="20"/>
                      </w:rPr>
                      <w:fldChar w:fldCharType="begin"/>
                    </w:r>
                    <w:r>
                      <w:rPr>
                        <w:rFonts w:ascii="Palatino Linotype"/>
                        <w:b/>
                        <w:spacing w:val="-5"/>
                        <w:sz w:val="20"/>
                      </w:rPr>
                      <w:instrText xml:space="preserve"> PAGE </w:instrText>
                    </w:r>
                    <w:r>
                      <w:rPr>
                        <w:rFonts w:ascii="Palatino Linotype"/>
                        <w:b/>
                        <w:spacing w:val="-5"/>
                        <w:sz w:val="20"/>
                      </w:rPr>
                      <w:fldChar w:fldCharType="separate"/>
                    </w:r>
                    <w:r>
                      <w:rPr>
                        <w:rFonts w:ascii="Palatino Linotype"/>
                        <w:b/>
                        <w:spacing w:val="-5"/>
                        <w:sz w:val="20"/>
                      </w:rPr>
                      <w:t>10</w:t>
                    </w:r>
                    <w:r>
                      <w:rPr>
                        <w:rFonts w:ascii="Palatino Linotype"/>
                        <w:b/>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406076220"/>
      <w:docPartObj>
        <w:docPartGallery w:val="Page Numbers (Bottom of Page)"/>
        <w:docPartUnique/>
      </w:docPartObj>
    </w:sdtPr>
    <w:sdtEndPr/>
    <w:sdtContent>
      <w:p w:rsidR="00150492" w:rsidRDefault="00150492" w:rsidP="00150492">
        <w:pPr>
          <w:pStyle w:val="Corpsdetexte"/>
          <w:spacing w:line="14" w:lineRule="auto"/>
          <w:rPr>
            <w:sz w:val="20"/>
          </w:rPr>
        </w:pPr>
        <w:r>
          <w:rPr>
            <w:noProof/>
            <w:sz w:val="20"/>
          </w:rPr>
          <mc:AlternateContent>
            <mc:Choice Requires="wps">
              <w:drawing>
                <wp:anchor distT="0" distB="0" distL="0" distR="0" simplePos="0" relativeHeight="486421504" behindDoc="1" locked="0" layoutInCell="1" allowOverlap="1" wp14:anchorId="5C356981" wp14:editId="081D5E59">
                  <wp:simplePos x="0" y="0"/>
                  <wp:positionH relativeFrom="page">
                    <wp:posOffset>882700</wp:posOffset>
                  </wp:positionH>
                  <wp:positionV relativeFrom="page">
                    <wp:posOffset>9698431</wp:posOffset>
                  </wp:positionV>
                  <wp:extent cx="5788025" cy="56515"/>
                  <wp:effectExtent l="0" t="0" r="0" b="0"/>
                  <wp:wrapNone/>
                  <wp:docPr id="56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8025" cy="56515"/>
                          </a:xfrm>
                          <a:custGeom>
                            <a:avLst/>
                            <a:gdLst/>
                            <a:ahLst/>
                            <a:cxnLst/>
                            <a:rect l="l" t="t" r="r" b="b"/>
                            <a:pathLst>
                              <a:path w="5788025" h="56515">
                                <a:moveTo>
                                  <a:pt x="5787517" y="47244"/>
                                </a:moveTo>
                                <a:lnTo>
                                  <a:pt x="0" y="47244"/>
                                </a:lnTo>
                                <a:lnTo>
                                  <a:pt x="0" y="56388"/>
                                </a:lnTo>
                                <a:lnTo>
                                  <a:pt x="5787517" y="56388"/>
                                </a:lnTo>
                                <a:lnTo>
                                  <a:pt x="5787517" y="47244"/>
                                </a:lnTo>
                                <a:close/>
                              </a:path>
                              <a:path w="5788025" h="56515">
                                <a:moveTo>
                                  <a:pt x="5787517" y="0"/>
                                </a:moveTo>
                                <a:lnTo>
                                  <a:pt x="0" y="0"/>
                                </a:lnTo>
                                <a:lnTo>
                                  <a:pt x="0" y="38100"/>
                                </a:lnTo>
                                <a:lnTo>
                                  <a:pt x="5787517" y="38100"/>
                                </a:lnTo>
                                <a:lnTo>
                                  <a:pt x="5787517"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7EC08B50" id="Graphic 3" o:spid="_x0000_s1026" style="position:absolute;margin-left:69.5pt;margin-top:763.65pt;width:455.75pt;height:4.45pt;z-index:-16894976;visibility:visible;mso-wrap-style:square;mso-wrap-distance-left:0;mso-wrap-distance-top:0;mso-wrap-distance-right:0;mso-wrap-distance-bottom:0;mso-position-horizontal:absolute;mso-position-horizontal-relative:page;mso-position-vertical:absolute;mso-position-vertical-relative:page;v-text-anchor:top" coordsize="578802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" path="m5787517,47244l,47244r,9144l5787517,56388r,-9144xem5787517,l,,,38100r5787517,l5787517,xe" fillcolor="#612322" stroked="f">
                  <v:path arrowok="t"/>
                  <w10:wrap anchorx="page" anchory="page"/>
                </v:shape>
              </w:pict>
            </mc:Fallback>
          </mc:AlternateContent>
        </w:r>
        <w:r>
          <w:rPr>
            <w:noProof/>
            <w:sz w:val="20"/>
          </w:rPr>
          <mc:AlternateContent>
            <mc:Choice Requires="wps">
              <w:drawing>
                <wp:anchor distT="0" distB="0" distL="0" distR="0" simplePos="0" relativeHeight="486422528" behindDoc="1" locked="0" layoutInCell="1" allowOverlap="1" wp14:anchorId="69B91FB2" wp14:editId="7E01E5AC">
                  <wp:simplePos x="0" y="0"/>
                  <wp:positionH relativeFrom="page">
                    <wp:posOffset>888288</wp:posOffset>
                  </wp:positionH>
                  <wp:positionV relativeFrom="page">
                    <wp:posOffset>9756388</wp:posOffset>
                  </wp:positionV>
                  <wp:extent cx="2344420" cy="330835"/>
                  <wp:effectExtent l="0" t="0" r="0" b="0"/>
                  <wp:wrapNone/>
                  <wp:docPr id="565"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330835"/>
                          </a:xfrm>
                          <a:prstGeom prst="rect">
                            <a:avLst/>
                          </a:prstGeom>
                        </wps:spPr>
                        <wps:txbx>
                          <w:txbxContent>
                            <w:p w:rsidR="00150492" w:rsidRDefault="00150492" w:rsidP="00150492">
                              <w:pPr>
                                <w:spacing w:line="249" w:lineRule="exact"/>
                                <w:ind w:left="2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150492" w:rsidRDefault="00150492" w:rsidP="00150492">
                              <w:pPr>
                                <w:spacing w:line="255" w:lineRule="exact"/>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txbxContent>
                        </wps:txbx>
                        <wps:bodyPr wrap="square" lIns="0" tIns="0" rIns="0" bIns="0" rtlCol="0">
                          <a:noAutofit/>
                        </wps:bodyPr>
                      </wps:wsp>
                    </a:graphicData>
                  </a:graphic>
                </wp:anchor>
              </w:drawing>
            </mc:Choice>
            <mc:Fallback>
              <w:pict>
                <v:shapetype w14:anchorId="69B91FB2" id="_x0000_t202" coordsize="21600,21600" o:spt="202" path="m,l,21600r21600,l21600,xe">
                  <v:stroke joinstyle="miter"/>
                  <v:path gradientshapeok="t" o:connecttype="rect"/>
                </v:shapetype>
                <v:shape id="_x0000_s1031" type="#_x0000_t202" style="position:absolute;margin-left:69.95pt;margin-top:768.2pt;width:184.6pt;height:26.05pt;z-index:-1689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" filled="f" stroked="f">
                  <v:textbox inset="0,0,0,0">
                    <w:txbxContent>
                      <w:p w:rsidR="00150492" w:rsidRDefault="00150492" w:rsidP="00150492">
                        <w:pPr>
                          <w:spacing w:line="249" w:lineRule="exact"/>
                          <w:ind w:left="2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150492" w:rsidRDefault="00150492" w:rsidP="00150492">
                        <w:pPr>
                          <w:spacing w:line="255" w:lineRule="exact"/>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txbxContent>
                  </v:textbox>
                  <w10:wrap anchorx="page" anchory="page"/>
                </v:shape>
              </w:pict>
            </mc:Fallback>
          </mc:AlternateContent>
        </w:r>
        <w:r>
          <w:rPr>
            <w:noProof/>
            <w:sz w:val="20"/>
          </w:rPr>
          <mc:AlternateContent>
            <mc:Choice Requires="wps">
              <w:drawing>
                <wp:anchor distT="0" distB="0" distL="0" distR="0" simplePos="0" relativeHeight="486423552" behindDoc="1" locked="0" layoutInCell="1" allowOverlap="1" wp14:anchorId="29D4FAE9" wp14:editId="6AAA8732">
                  <wp:simplePos x="0" y="0"/>
                  <wp:positionH relativeFrom="page">
                    <wp:posOffset>3258439</wp:posOffset>
                  </wp:positionH>
                  <wp:positionV relativeFrom="page">
                    <wp:posOffset>9908788</wp:posOffset>
                  </wp:positionV>
                  <wp:extent cx="1047115" cy="178435"/>
                  <wp:effectExtent l="0" t="0" r="0" b="0"/>
                  <wp:wrapNone/>
                  <wp:docPr id="566"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7115" cy="178435"/>
                          </a:xfrm>
                          <a:prstGeom prst="rect">
                            <a:avLst/>
                          </a:prstGeom>
                        </wps:spPr>
                        <wps:txbx>
                          <w:txbxContent>
                            <w:p w:rsidR="00150492" w:rsidRDefault="00A45EC9" w:rsidP="00150492">
                              <w:pPr>
                                <w:spacing w:line="264" w:lineRule="exact"/>
                                <w:ind w:left="20"/>
                                <w:rPr>
                                  <w:rFonts w:ascii="Palatino Linotype"/>
                                  <w:b/>
                                  <w:sz w:val="20"/>
                                </w:rPr>
                              </w:pPr>
                              <w:hyperlink r:id="rId1">
                                <w:r w:rsidR="00150492">
                                  <w:rPr>
                                    <w:rFonts w:ascii="Palatino Linotype"/>
                                    <w:b/>
                                    <w:color w:val="0000FF"/>
                                    <w:spacing w:val="-2"/>
                                    <w:sz w:val="20"/>
                                    <w:u w:val="single" w:color="0000FF"/>
                                  </w:rPr>
                                  <w:t>www.rimege.com</w:t>
                                </w:r>
                              </w:hyperlink>
                            </w:p>
                          </w:txbxContent>
                        </wps:txbx>
                        <wps:bodyPr wrap="square" lIns="0" tIns="0" rIns="0" bIns="0" rtlCol="0">
                          <a:noAutofit/>
                        </wps:bodyPr>
                      </wps:wsp>
                    </a:graphicData>
                  </a:graphic>
                </wp:anchor>
              </w:drawing>
            </mc:Choice>
            <mc:Fallback>
              <w:pict>
                <v:shape w14:anchorId="29D4FAE9" id="_x0000_s1032" type="#_x0000_t202" style="position:absolute;margin-left:256.55pt;margin-top:780.2pt;width:82.45pt;height:14.05pt;z-index:-1689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" filled="f" stroked="f">
                  <v:textbox inset="0,0,0,0">
                    <w:txbxContent>
                      <w:p w:rsidR="00150492" w:rsidRDefault="00150492" w:rsidP="00150492">
                        <w:pPr>
                          <w:spacing w:line="264" w:lineRule="exact"/>
                          <w:ind w:left="20"/>
                          <w:rPr>
                            <w:rFonts w:ascii="Palatino Linotype"/>
                            <w:b/>
                            <w:sz w:val="20"/>
                          </w:rPr>
                        </w:pPr>
                        <w:hyperlink r:id="rId2">
                          <w:r>
                            <w:rPr>
                              <w:rFonts w:ascii="Palatino Linotype"/>
                              <w:b/>
                              <w:color w:val="0000FF"/>
                              <w:spacing w:val="-2"/>
                              <w:sz w:val="20"/>
                              <w:u w:val="single" w:color="0000FF"/>
                            </w:rPr>
                            <w:t>www.rimege.com</w:t>
                          </w:r>
                        </w:hyperlink>
                      </w:p>
                    </w:txbxContent>
                  </v:textbox>
                  <w10:wrap anchorx="page" anchory="page"/>
                </v:shape>
              </w:pict>
            </mc:Fallback>
          </mc:AlternateContent>
        </w:r>
        <w:r>
          <w:rPr>
            <w:noProof/>
            <w:sz w:val="20"/>
          </w:rPr>
          <mc:AlternateContent>
            <mc:Choice Requires="wps">
              <w:drawing>
                <wp:anchor distT="0" distB="0" distL="0" distR="0" simplePos="0" relativeHeight="486424576" behindDoc="1" locked="0" layoutInCell="1" allowOverlap="1" wp14:anchorId="2B117F1A" wp14:editId="5945DE89">
                  <wp:simplePos x="0" y="0"/>
                  <wp:positionH relativeFrom="page">
                    <wp:posOffset>6110478</wp:posOffset>
                  </wp:positionH>
                  <wp:positionV relativeFrom="page">
                    <wp:posOffset>9908788</wp:posOffset>
                  </wp:positionV>
                  <wp:extent cx="461645" cy="178435"/>
                  <wp:effectExtent l="0" t="0" r="0" b="0"/>
                  <wp:wrapNone/>
                  <wp:docPr id="56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78435"/>
                          </a:xfrm>
                          <a:prstGeom prst="rect">
                            <a:avLst/>
                          </a:prstGeom>
                        </wps:spPr>
                        <wps:txbx>
                          <w:txbxContent>
                            <w:p w:rsidR="00150492" w:rsidRDefault="00150492" w:rsidP="00150492">
                              <w:pPr>
                                <w:spacing w:line="264" w:lineRule="exact"/>
                                <w:ind w:left="20"/>
                                <w:rPr>
                                  <w:rFonts w:ascii="Palatino Linotype"/>
                                  <w:b/>
                                  <w:sz w:val="20"/>
                                </w:rPr>
                              </w:pPr>
                              <w:r>
                                <w:rPr>
                                  <w:rFonts w:ascii="Palatino Linotype"/>
                                  <w:b/>
                                  <w:sz w:val="20"/>
                                </w:rPr>
                                <w:t>Page</w:t>
                              </w:r>
                              <w:r>
                                <w:rPr>
                                  <w:rFonts w:ascii="Palatino Linotype"/>
                                  <w:b/>
                                  <w:spacing w:val="-3"/>
                                  <w:sz w:val="20"/>
                                </w:rPr>
                                <w:t xml:space="preserve"> </w:t>
                              </w:r>
                              <w:r>
                                <w:rPr>
                                  <w:rFonts w:ascii="Palatino Linotype"/>
                                  <w:b/>
                                  <w:spacing w:val="-5"/>
                                  <w:sz w:val="20"/>
                                </w:rPr>
                                <w:fldChar w:fldCharType="begin"/>
                              </w:r>
                              <w:r>
                                <w:rPr>
                                  <w:rFonts w:ascii="Palatino Linotype"/>
                                  <w:b/>
                                  <w:spacing w:val="-5"/>
                                  <w:sz w:val="20"/>
                                </w:rPr>
                                <w:instrText xml:space="preserve"> PAGE </w:instrText>
                              </w:r>
                              <w:r>
                                <w:rPr>
                                  <w:rFonts w:ascii="Palatino Linotype"/>
                                  <w:b/>
                                  <w:spacing w:val="-5"/>
                                  <w:sz w:val="20"/>
                                </w:rPr>
                                <w:fldChar w:fldCharType="separate"/>
                              </w:r>
                              <w:r>
                                <w:rPr>
                                  <w:rFonts w:ascii="Palatino Linotype"/>
                                  <w:b/>
                                  <w:spacing w:val="-5"/>
                                  <w:sz w:val="20"/>
                                </w:rPr>
                                <w:t>10</w:t>
                              </w:r>
                              <w:r>
                                <w:rPr>
                                  <w:rFonts w:ascii="Palatino Linotype"/>
                                  <w:b/>
                                  <w:spacing w:val="-5"/>
                                  <w:sz w:val="20"/>
                                </w:rPr>
                                <w:fldChar w:fldCharType="end"/>
                              </w:r>
                            </w:p>
                          </w:txbxContent>
                        </wps:txbx>
                        <wps:bodyPr wrap="square" lIns="0" tIns="0" rIns="0" bIns="0" rtlCol="0">
                          <a:noAutofit/>
                        </wps:bodyPr>
                      </wps:wsp>
                    </a:graphicData>
                  </a:graphic>
                </wp:anchor>
              </w:drawing>
            </mc:Choice>
            <mc:Fallback>
              <w:pict>
                <v:shape w14:anchorId="2B117F1A" id="_x0000_s1033" type="#_x0000_t202" style="position:absolute;margin-left:481.15pt;margin-top:780.2pt;width:36.35pt;height:14.05pt;z-index:-1689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" filled="f" stroked="f">
                  <v:textbox inset="0,0,0,0">
                    <w:txbxContent>
                      <w:p w:rsidR="00150492" w:rsidRDefault="00150492" w:rsidP="00150492">
                        <w:pPr>
                          <w:spacing w:line="264" w:lineRule="exact"/>
                          <w:ind w:left="20"/>
                          <w:rPr>
                            <w:rFonts w:ascii="Palatino Linotype"/>
                            <w:b/>
                            <w:sz w:val="20"/>
                          </w:rPr>
                        </w:pPr>
                        <w:r>
                          <w:rPr>
                            <w:rFonts w:ascii="Palatino Linotype"/>
                            <w:b/>
                            <w:sz w:val="20"/>
                          </w:rPr>
                          <w:t>Page</w:t>
                        </w:r>
                        <w:r>
                          <w:rPr>
                            <w:rFonts w:ascii="Palatino Linotype"/>
                            <w:b/>
                            <w:spacing w:val="-3"/>
                            <w:sz w:val="20"/>
                          </w:rPr>
                          <w:t xml:space="preserve"> </w:t>
                        </w:r>
                        <w:r>
                          <w:rPr>
                            <w:rFonts w:ascii="Palatino Linotype"/>
                            <w:b/>
                            <w:spacing w:val="-5"/>
                            <w:sz w:val="20"/>
                          </w:rPr>
                          <w:fldChar w:fldCharType="begin"/>
                        </w:r>
                        <w:r>
                          <w:rPr>
                            <w:rFonts w:ascii="Palatino Linotype"/>
                            <w:b/>
                            <w:spacing w:val="-5"/>
                            <w:sz w:val="20"/>
                          </w:rPr>
                          <w:instrText xml:space="preserve"> PAGE </w:instrText>
                        </w:r>
                        <w:r>
                          <w:rPr>
                            <w:rFonts w:ascii="Palatino Linotype"/>
                            <w:b/>
                            <w:spacing w:val="-5"/>
                            <w:sz w:val="20"/>
                          </w:rPr>
                          <w:fldChar w:fldCharType="separate"/>
                        </w:r>
                        <w:r>
                          <w:rPr>
                            <w:rFonts w:ascii="Palatino Linotype"/>
                            <w:b/>
                            <w:spacing w:val="-5"/>
                            <w:sz w:val="20"/>
                          </w:rPr>
                          <w:t>10</w:t>
                        </w:r>
                        <w:r>
                          <w:rPr>
                            <w:rFonts w:ascii="Palatino Linotype"/>
                            <w:b/>
                            <w:spacing w:val="-5"/>
                            <w:sz w:val="20"/>
                          </w:rPr>
                          <w:fldChar w:fldCharType="end"/>
                        </w:r>
                      </w:p>
                    </w:txbxContent>
                  </v:textbox>
                  <w10:wrap anchorx="page" anchory="page"/>
                </v:shape>
              </w:pict>
            </mc:Fallback>
          </mc:AlternateContent>
        </w:r>
      </w:p>
      <w:sdt>
        <w:sdtPr>
          <w:rPr>
            <w:sz w:val="22"/>
            <w:szCs w:val="22"/>
          </w:rPr>
          <w:id w:val="1357232599"/>
          <w:docPartObj>
            <w:docPartGallery w:val="Page Numbers (Bottom of Page)"/>
            <w:docPartUnique/>
          </w:docPartObj>
        </w:sdtPr>
        <w:sdtEndPr/>
        <w:sdtContent>
          <w:p w:rsidR="00BB5A06" w:rsidRDefault="00BB5A06" w:rsidP="00BB5A06">
            <w:pPr>
              <w:pStyle w:val="Corpsdetexte"/>
              <w:spacing w:line="14" w:lineRule="auto"/>
              <w:rPr>
                <w:sz w:val="20"/>
              </w:rPr>
            </w:pPr>
            <w:r>
              <w:rPr>
                <w:noProof/>
                <w:sz w:val="20"/>
              </w:rPr>
              <mc:AlternateContent>
                <mc:Choice Requires="wps">
                  <w:drawing>
                    <wp:anchor distT="0" distB="0" distL="0" distR="0" simplePos="0" relativeHeight="486429696" behindDoc="1" locked="0" layoutInCell="1" allowOverlap="1" wp14:anchorId="42287D02" wp14:editId="265098B5">
                      <wp:simplePos x="0" y="0"/>
                      <wp:positionH relativeFrom="page">
                        <wp:posOffset>882700</wp:posOffset>
                      </wp:positionH>
                      <wp:positionV relativeFrom="page">
                        <wp:posOffset>9698431</wp:posOffset>
                      </wp:positionV>
                      <wp:extent cx="5788025" cy="56515"/>
                      <wp:effectExtent l="0" t="0" r="0" b="0"/>
                      <wp:wrapNone/>
                      <wp:docPr id="57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8025" cy="56515"/>
                              </a:xfrm>
                              <a:custGeom>
                                <a:avLst/>
                                <a:gdLst/>
                                <a:ahLst/>
                                <a:cxnLst/>
                                <a:rect l="l" t="t" r="r" b="b"/>
                                <a:pathLst>
                                  <a:path w="5788025" h="56515">
                                    <a:moveTo>
                                      <a:pt x="5787517" y="47244"/>
                                    </a:moveTo>
                                    <a:lnTo>
                                      <a:pt x="0" y="47244"/>
                                    </a:lnTo>
                                    <a:lnTo>
                                      <a:pt x="0" y="56388"/>
                                    </a:lnTo>
                                    <a:lnTo>
                                      <a:pt x="5787517" y="56388"/>
                                    </a:lnTo>
                                    <a:lnTo>
                                      <a:pt x="5787517" y="47244"/>
                                    </a:lnTo>
                                    <a:close/>
                                  </a:path>
                                  <a:path w="5788025" h="56515">
                                    <a:moveTo>
                                      <a:pt x="5787517" y="0"/>
                                    </a:moveTo>
                                    <a:lnTo>
                                      <a:pt x="0" y="0"/>
                                    </a:lnTo>
                                    <a:lnTo>
                                      <a:pt x="0" y="38100"/>
                                    </a:lnTo>
                                    <a:lnTo>
                                      <a:pt x="5787517" y="38100"/>
                                    </a:lnTo>
                                    <a:lnTo>
                                      <a:pt x="5787517"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w14:anchorId="439800EA" id="Graphic 3" o:spid="_x0000_s1026" style="position:absolute;margin-left:69.5pt;margin-top:763.65pt;width:455.75pt;height:4.45pt;z-index:-16886784;visibility:visible;mso-wrap-style:square;mso-wrap-distance-left:0;mso-wrap-distance-top:0;mso-wrap-distance-right:0;mso-wrap-distance-bottom:0;mso-position-horizontal:absolute;mso-position-horizontal-relative:page;mso-position-vertical:absolute;mso-position-vertical-relative:page;v-text-anchor:top" coordsize="578802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" path="m5787517,47244l,47244r,9144l5787517,56388r,-9144xem5787517,l,,,38100r5787517,l5787517,xe" fillcolor="#612322" stroked="f">
                      <v:path arrowok="t"/>
                      <w10:wrap anchorx="page" anchory="page"/>
                    </v:shape>
                  </w:pict>
                </mc:Fallback>
              </mc:AlternateContent>
            </w:r>
            <w:r>
              <w:rPr>
                <w:noProof/>
                <w:sz w:val="20"/>
              </w:rPr>
              <mc:AlternateContent>
                <mc:Choice Requires="wps">
                  <w:drawing>
                    <wp:anchor distT="0" distB="0" distL="0" distR="0" simplePos="0" relativeHeight="486430720" behindDoc="1" locked="0" layoutInCell="1" allowOverlap="1" wp14:anchorId="7CFF2F91" wp14:editId="64D0C961">
                      <wp:simplePos x="0" y="0"/>
                      <wp:positionH relativeFrom="page">
                        <wp:posOffset>888288</wp:posOffset>
                      </wp:positionH>
                      <wp:positionV relativeFrom="page">
                        <wp:posOffset>9756388</wp:posOffset>
                      </wp:positionV>
                      <wp:extent cx="2344420" cy="330835"/>
                      <wp:effectExtent l="0" t="0" r="0" b="0"/>
                      <wp:wrapNone/>
                      <wp:docPr id="571"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330835"/>
                              </a:xfrm>
                              <a:prstGeom prst="rect">
                                <a:avLst/>
                              </a:prstGeom>
                            </wps:spPr>
                            <wps:txbx>
                              <w:txbxContent>
                                <w:p w:rsidR="00BB5A06" w:rsidRDefault="00BB5A06" w:rsidP="00BB5A06">
                                  <w:pPr>
                                    <w:spacing w:line="249" w:lineRule="exact"/>
                                    <w:ind w:left="2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BB5A06" w:rsidRDefault="00BB5A06" w:rsidP="00BB5A06">
                                  <w:pPr>
                                    <w:spacing w:line="255" w:lineRule="exact"/>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txbxContent>
                            </wps:txbx>
                            <wps:bodyPr wrap="square" lIns="0" tIns="0" rIns="0" bIns="0" rtlCol="0">
                              <a:noAutofit/>
                            </wps:bodyPr>
                          </wps:wsp>
                        </a:graphicData>
                      </a:graphic>
                    </wp:anchor>
                  </w:drawing>
                </mc:Choice>
                <mc:Fallback>
                  <w:pict>
                    <v:shape w14:anchorId="7CFF2F91" id="_x0000_s1034" type="#_x0000_t202" style="position:absolute;margin-left:69.95pt;margin-top:768.2pt;width:184.6pt;height:26.05pt;z-index:-1688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" filled="f" stroked="f">
                      <v:textbox inset="0,0,0,0">
                        <w:txbxContent>
                          <w:p w:rsidR="00BB5A06" w:rsidRDefault="00BB5A06" w:rsidP="00BB5A06">
                            <w:pPr>
                              <w:spacing w:line="249" w:lineRule="exact"/>
                              <w:ind w:left="2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BB5A06" w:rsidRDefault="00BB5A06" w:rsidP="00BB5A06">
                            <w:pPr>
                              <w:spacing w:line="255" w:lineRule="exact"/>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txbxContent>
                      </v:textbox>
                      <w10:wrap anchorx="page" anchory="page"/>
                    </v:shape>
                  </w:pict>
                </mc:Fallback>
              </mc:AlternateContent>
            </w:r>
            <w:r>
              <w:rPr>
                <w:noProof/>
                <w:sz w:val="20"/>
              </w:rPr>
              <mc:AlternateContent>
                <mc:Choice Requires="wps">
                  <w:drawing>
                    <wp:anchor distT="0" distB="0" distL="0" distR="0" simplePos="0" relativeHeight="486431744" behindDoc="1" locked="0" layoutInCell="1" allowOverlap="1" wp14:anchorId="38CA8A3F" wp14:editId="4D265DF7">
                      <wp:simplePos x="0" y="0"/>
                      <wp:positionH relativeFrom="page">
                        <wp:posOffset>3258439</wp:posOffset>
                      </wp:positionH>
                      <wp:positionV relativeFrom="page">
                        <wp:posOffset>9908788</wp:posOffset>
                      </wp:positionV>
                      <wp:extent cx="1047115" cy="178435"/>
                      <wp:effectExtent l="0" t="0" r="0" b="0"/>
                      <wp:wrapNone/>
                      <wp:docPr id="572"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7115" cy="178435"/>
                              </a:xfrm>
                              <a:prstGeom prst="rect">
                                <a:avLst/>
                              </a:prstGeom>
                            </wps:spPr>
                            <wps:txbx>
                              <w:txbxContent>
                                <w:p w:rsidR="00BB5A06" w:rsidRDefault="00A45EC9" w:rsidP="00BB5A06">
                                  <w:pPr>
                                    <w:spacing w:line="264" w:lineRule="exact"/>
                                    <w:ind w:left="20"/>
                                    <w:rPr>
                                      <w:rFonts w:ascii="Palatino Linotype"/>
                                      <w:b/>
                                      <w:sz w:val="20"/>
                                    </w:rPr>
                                  </w:pPr>
                                  <w:hyperlink r:id="rId3">
                                    <w:r w:rsidR="00BB5A06">
                                      <w:rPr>
                                        <w:rFonts w:ascii="Palatino Linotype"/>
                                        <w:b/>
                                        <w:color w:val="0000FF"/>
                                        <w:spacing w:val="-2"/>
                                        <w:sz w:val="20"/>
                                        <w:u w:val="single" w:color="0000FF"/>
                                      </w:rPr>
                                      <w:t>www.rimege.com</w:t>
                                    </w:r>
                                  </w:hyperlink>
                                </w:p>
                              </w:txbxContent>
                            </wps:txbx>
                            <wps:bodyPr wrap="square" lIns="0" tIns="0" rIns="0" bIns="0" rtlCol="0">
                              <a:noAutofit/>
                            </wps:bodyPr>
                          </wps:wsp>
                        </a:graphicData>
                      </a:graphic>
                    </wp:anchor>
                  </w:drawing>
                </mc:Choice>
                <mc:Fallback>
                  <w:pict>
                    <v:shape w14:anchorId="38CA8A3F" id="_x0000_s1035" type="#_x0000_t202" style="position:absolute;margin-left:256.55pt;margin-top:780.2pt;width:82.45pt;height:14.05pt;z-index:-1688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" filled="f" stroked="f">
                      <v:textbox inset="0,0,0,0">
                        <w:txbxContent>
                          <w:p w:rsidR="00BB5A06" w:rsidRDefault="00BB5A06" w:rsidP="00BB5A06">
                            <w:pPr>
                              <w:spacing w:line="264" w:lineRule="exact"/>
                              <w:ind w:left="20"/>
                              <w:rPr>
                                <w:rFonts w:ascii="Palatino Linotype"/>
                                <w:b/>
                                <w:sz w:val="20"/>
                              </w:rPr>
                            </w:pPr>
                            <w:hyperlink r:id="rId4">
                              <w:r>
                                <w:rPr>
                                  <w:rFonts w:ascii="Palatino Linotype"/>
                                  <w:b/>
                                  <w:color w:val="0000FF"/>
                                  <w:spacing w:val="-2"/>
                                  <w:sz w:val="20"/>
                                  <w:u w:val="single" w:color="0000FF"/>
                                </w:rPr>
                                <w:t>www.rimege.com</w:t>
                              </w:r>
                            </w:hyperlink>
                          </w:p>
                        </w:txbxContent>
                      </v:textbox>
                      <w10:wrap anchorx="page" anchory="page"/>
                    </v:shape>
                  </w:pict>
                </mc:Fallback>
              </mc:AlternateContent>
            </w:r>
            <w:r>
              <w:rPr>
                <w:noProof/>
                <w:sz w:val="20"/>
              </w:rPr>
              <mc:AlternateContent>
                <mc:Choice Requires="wps">
                  <w:drawing>
                    <wp:anchor distT="0" distB="0" distL="0" distR="0" simplePos="0" relativeHeight="486432768" behindDoc="1" locked="0" layoutInCell="1" allowOverlap="1" wp14:anchorId="53EFA6B8" wp14:editId="2BDBC074">
                      <wp:simplePos x="0" y="0"/>
                      <wp:positionH relativeFrom="page">
                        <wp:posOffset>6110478</wp:posOffset>
                      </wp:positionH>
                      <wp:positionV relativeFrom="page">
                        <wp:posOffset>9908788</wp:posOffset>
                      </wp:positionV>
                      <wp:extent cx="461645" cy="178435"/>
                      <wp:effectExtent l="0" t="0" r="0" b="0"/>
                      <wp:wrapNone/>
                      <wp:docPr id="57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 cy="178435"/>
                              </a:xfrm>
                              <a:prstGeom prst="rect">
                                <a:avLst/>
                              </a:prstGeom>
                            </wps:spPr>
                            <wps:txbx>
                              <w:txbxContent>
                                <w:p w:rsidR="00BB5A06" w:rsidRDefault="00BB5A06" w:rsidP="00BB5A06">
                                  <w:pPr>
                                    <w:spacing w:line="264" w:lineRule="exact"/>
                                    <w:ind w:left="20"/>
                                    <w:rPr>
                                      <w:rFonts w:ascii="Palatino Linotype"/>
                                      <w:b/>
                                      <w:sz w:val="20"/>
                                    </w:rPr>
                                  </w:pPr>
                                  <w:r>
                                    <w:rPr>
                                      <w:rFonts w:ascii="Palatino Linotype"/>
                                      <w:b/>
                                      <w:sz w:val="20"/>
                                    </w:rPr>
                                    <w:t>Page</w:t>
                                  </w:r>
                                  <w:r>
                                    <w:rPr>
                                      <w:rFonts w:ascii="Palatino Linotype"/>
                                      <w:b/>
                                      <w:spacing w:val="-3"/>
                                      <w:sz w:val="20"/>
                                    </w:rPr>
                                    <w:t xml:space="preserve"> </w:t>
                                  </w:r>
                                  <w:r>
                                    <w:rPr>
                                      <w:rFonts w:ascii="Palatino Linotype"/>
                                      <w:b/>
                                      <w:spacing w:val="-5"/>
                                      <w:sz w:val="20"/>
                                    </w:rPr>
                                    <w:fldChar w:fldCharType="begin"/>
                                  </w:r>
                                  <w:r>
                                    <w:rPr>
                                      <w:rFonts w:ascii="Palatino Linotype"/>
                                      <w:b/>
                                      <w:spacing w:val="-5"/>
                                      <w:sz w:val="20"/>
                                    </w:rPr>
                                    <w:instrText xml:space="preserve"> PAGE </w:instrText>
                                  </w:r>
                                  <w:r>
                                    <w:rPr>
                                      <w:rFonts w:ascii="Palatino Linotype"/>
                                      <w:b/>
                                      <w:spacing w:val="-5"/>
                                      <w:sz w:val="20"/>
                                    </w:rPr>
                                    <w:fldChar w:fldCharType="separate"/>
                                  </w:r>
                                  <w:r>
                                    <w:rPr>
                                      <w:rFonts w:ascii="Palatino Linotype"/>
                                      <w:b/>
                                      <w:spacing w:val="-5"/>
                                      <w:sz w:val="20"/>
                                    </w:rPr>
                                    <w:t>10</w:t>
                                  </w:r>
                                  <w:r>
                                    <w:rPr>
                                      <w:rFonts w:ascii="Palatino Linotype"/>
                                      <w:b/>
                                      <w:spacing w:val="-5"/>
                                      <w:sz w:val="20"/>
                                    </w:rPr>
                                    <w:fldChar w:fldCharType="end"/>
                                  </w:r>
                                </w:p>
                              </w:txbxContent>
                            </wps:txbx>
                            <wps:bodyPr wrap="square" lIns="0" tIns="0" rIns="0" bIns="0" rtlCol="0">
                              <a:noAutofit/>
                            </wps:bodyPr>
                          </wps:wsp>
                        </a:graphicData>
                      </a:graphic>
                    </wp:anchor>
                  </w:drawing>
                </mc:Choice>
                <mc:Fallback>
                  <w:pict>
                    <v:shape w14:anchorId="53EFA6B8" id="_x0000_s1036" type="#_x0000_t202" style="position:absolute;margin-left:481.15pt;margin-top:780.2pt;width:36.35pt;height:14.05pt;z-index:-1688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" filled="f" stroked="f">
                      <v:textbox inset="0,0,0,0">
                        <w:txbxContent>
                          <w:p w:rsidR="00BB5A06" w:rsidRDefault="00BB5A06" w:rsidP="00BB5A06">
                            <w:pPr>
                              <w:spacing w:line="264" w:lineRule="exact"/>
                              <w:ind w:left="20"/>
                              <w:rPr>
                                <w:rFonts w:ascii="Palatino Linotype"/>
                                <w:b/>
                                <w:sz w:val="20"/>
                              </w:rPr>
                            </w:pPr>
                            <w:r>
                              <w:rPr>
                                <w:rFonts w:ascii="Palatino Linotype"/>
                                <w:b/>
                                <w:sz w:val="20"/>
                              </w:rPr>
                              <w:t>Page</w:t>
                            </w:r>
                            <w:r>
                              <w:rPr>
                                <w:rFonts w:ascii="Palatino Linotype"/>
                                <w:b/>
                                <w:spacing w:val="-3"/>
                                <w:sz w:val="20"/>
                              </w:rPr>
                              <w:t xml:space="preserve"> </w:t>
                            </w:r>
                            <w:r>
                              <w:rPr>
                                <w:rFonts w:ascii="Palatino Linotype"/>
                                <w:b/>
                                <w:spacing w:val="-5"/>
                                <w:sz w:val="20"/>
                              </w:rPr>
                              <w:fldChar w:fldCharType="begin"/>
                            </w:r>
                            <w:r>
                              <w:rPr>
                                <w:rFonts w:ascii="Palatino Linotype"/>
                                <w:b/>
                                <w:spacing w:val="-5"/>
                                <w:sz w:val="20"/>
                              </w:rPr>
                              <w:instrText xml:space="preserve"> PAGE </w:instrText>
                            </w:r>
                            <w:r>
                              <w:rPr>
                                <w:rFonts w:ascii="Palatino Linotype"/>
                                <w:b/>
                                <w:spacing w:val="-5"/>
                                <w:sz w:val="20"/>
                              </w:rPr>
                              <w:fldChar w:fldCharType="separate"/>
                            </w:r>
                            <w:r>
                              <w:rPr>
                                <w:rFonts w:ascii="Palatino Linotype"/>
                                <w:b/>
                                <w:spacing w:val="-5"/>
                                <w:sz w:val="20"/>
                              </w:rPr>
                              <w:t>10</w:t>
                            </w:r>
                            <w:r>
                              <w:rPr>
                                <w:rFonts w:ascii="Palatino Linotype"/>
                                <w:b/>
                                <w:spacing w:val="-5"/>
                                <w:sz w:val="20"/>
                              </w:rPr>
                              <w:fldChar w:fldCharType="end"/>
                            </w:r>
                          </w:p>
                        </w:txbxContent>
                      </v:textbox>
                      <w10:wrap anchorx="page" anchory="page"/>
                    </v:shape>
                  </w:pict>
                </mc:Fallback>
              </mc:AlternateContent>
            </w:r>
          </w:p>
          <w:p w:rsidR="00BB5A06" w:rsidRPr="0018553E" w:rsidRDefault="00A45EC9" w:rsidP="00BB5A06">
            <w:pPr>
              <w:pStyle w:val="Pieddepage"/>
              <w:jc w:val="center"/>
            </w:pPr>
          </w:p>
        </w:sdtContent>
      </w:sdt>
      <w:p w:rsidR="00BB5A06" w:rsidRPr="0018553E" w:rsidRDefault="00BB5A06" w:rsidP="00BB5A06">
        <w:pPr>
          <w:pStyle w:val="Pieddepage"/>
        </w:pPr>
      </w:p>
      <w:p w:rsidR="00BB5A06" w:rsidRDefault="00BB5A06" w:rsidP="00BB5A06"/>
      <w:p w:rsidR="00931690" w:rsidRPr="0018553E" w:rsidRDefault="00A45EC9">
        <w:pPr>
          <w:pStyle w:val="Pieddepage"/>
          <w:jc w:val="center"/>
        </w:pPr>
      </w:p>
    </w:sdtContent>
  </w:sdt>
  <w:p w:rsidR="00931690" w:rsidRPr="0018553E" w:rsidRDefault="00931690">
    <w:pPr>
      <w:pStyle w:val="Pieddepage"/>
    </w:pPr>
  </w:p>
  <w:p w:rsidR="00931690" w:rsidRDefault="009316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EC9" w:rsidRDefault="00A45EC9">
      <w:r>
        <w:separator/>
      </w:r>
    </w:p>
  </w:footnote>
  <w:footnote w:type="continuationSeparator" w:id="0">
    <w:p w:rsidR="00A45EC9" w:rsidRDefault="00A4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690" w:rsidRDefault="00931690">
    <w:pPr>
      <w:pStyle w:val="Corpsdetexte"/>
      <w:spacing w:line="14" w:lineRule="auto"/>
      <w:rPr>
        <w:sz w:val="20"/>
      </w:rPr>
    </w:pPr>
    <w:r>
      <w:rPr>
        <w:noProof/>
        <w:sz w:val="20"/>
      </w:rPr>
      <w:drawing>
        <wp:anchor distT="0" distB="0" distL="0" distR="0" simplePos="0" relativeHeight="486416896" behindDoc="1" locked="0" layoutInCell="1" allowOverlap="1">
          <wp:simplePos x="0" y="0"/>
          <wp:positionH relativeFrom="page">
            <wp:posOffset>5340891</wp:posOffset>
          </wp:positionH>
          <wp:positionV relativeFrom="page">
            <wp:posOffset>375481</wp:posOffset>
          </wp:positionV>
          <wp:extent cx="1440085" cy="39351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40085" cy="393516"/>
                  </a:xfrm>
                  <a:prstGeom prst="rect">
                    <a:avLst/>
                  </a:prstGeom>
                </pic:spPr>
              </pic:pic>
            </a:graphicData>
          </a:graphic>
        </wp:anchor>
      </w:drawing>
    </w:r>
    <w:r>
      <w:rPr>
        <w:noProof/>
        <w:sz w:val="20"/>
      </w:rPr>
      <mc:AlternateContent>
        <mc:Choice Requires="wps">
          <w:drawing>
            <wp:anchor distT="0" distB="0" distL="0" distR="0" simplePos="0" relativeHeight="486417408" behindDoc="1" locked="0" layoutInCell="1" allowOverlap="1">
              <wp:simplePos x="0" y="0"/>
              <wp:positionH relativeFrom="page">
                <wp:posOffset>888288</wp:posOffset>
              </wp:positionH>
              <wp:positionV relativeFrom="page">
                <wp:posOffset>440480</wp:posOffset>
              </wp:positionV>
              <wp:extent cx="2376170" cy="7105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6170" cy="710565"/>
                      </a:xfrm>
                      <a:prstGeom prst="rect">
                        <a:avLst/>
                      </a:prstGeom>
                    </wps:spPr>
                    <wps:txbx>
                      <w:txbxContent>
                        <w:p w:rsidR="00931690" w:rsidRDefault="00931690">
                          <w:pPr>
                            <w:spacing w:line="264" w:lineRule="exact"/>
                            <w:ind w:left="7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931690" w:rsidRDefault="00931690">
                          <w:pPr>
                            <w:spacing w:before="8"/>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p w:rsidR="00931690" w:rsidRDefault="00931690">
                          <w:pPr>
                            <w:spacing w:before="26" w:line="274" w:lineRule="exact"/>
                            <w:ind w:left="20"/>
                            <w:rPr>
                              <w:sz w:val="24"/>
                            </w:rPr>
                          </w:pPr>
                          <w:r>
                            <w:rPr>
                              <w:rFonts w:ascii="Palatino Linotype"/>
                              <w:sz w:val="20"/>
                            </w:rPr>
                            <w:t>ISSN</w:t>
                          </w:r>
                          <w:r>
                            <w:rPr>
                              <w:rFonts w:ascii="Palatino Linotype"/>
                              <w:spacing w:val="-3"/>
                              <w:sz w:val="20"/>
                            </w:rPr>
                            <w:t xml:space="preserve"> </w:t>
                          </w:r>
                          <w:r>
                            <w:rPr>
                              <w:rFonts w:ascii="Palatino Linotype"/>
                              <w:sz w:val="20"/>
                            </w:rPr>
                            <w:t>:</w:t>
                          </w:r>
                          <w:r>
                            <w:rPr>
                              <w:rFonts w:ascii="Palatino Linotype"/>
                              <w:spacing w:val="7"/>
                              <w:sz w:val="20"/>
                            </w:rPr>
                            <w:t xml:space="preserve"> </w:t>
                          </w:r>
                          <w:r w:rsidRPr="00D6206D">
                            <w:rPr>
                              <w:sz w:val="24"/>
                            </w:rPr>
                            <w:t>2724-</w:t>
                          </w:r>
                          <w:r w:rsidRPr="00D6206D">
                            <w:rPr>
                              <w:spacing w:val="-4"/>
                              <w:sz w:val="24"/>
                            </w:rPr>
                            <w:t>7260</w:t>
                          </w:r>
                        </w:p>
                        <w:p w:rsidR="00931690" w:rsidRDefault="00931690">
                          <w:pPr>
                            <w:spacing w:line="260" w:lineRule="exact"/>
                            <w:ind w:left="20"/>
                            <w:rPr>
                              <w:rFonts w:ascii="Palatino Linotype" w:hAnsi="Palatino Linotype"/>
                              <w:sz w:val="20"/>
                            </w:rPr>
                          </w:pPr>
                          <w:r>
                            <w:rPr>
                              <w:rFonts w:ascii="Palatino Linotype" w:hAnsi="Palatino Linotype"/>
                              <w:sz w:val="20"/>
                            </w:rPr>
                            <w:t>Volume</w:t>
                          </w:r>
                          <w:r>
                            <w:rPr>
                              <w:rFonts w:ascii="Palatino Linotype" w:hAnsi="Palatino Linotype"/>
                              <w:spacing w:val="-4"/>
                              <w:sz w:val="20"/>
                            </w:rPr>
                            <w:t xml:space="preserve"> </w:t>
                          </w:r>
                          <w:r>
                            <w:rPr>
                              <w:rFonts w:ascii="Palatino Linotype" w:hAnsi="Palatino Linotype"/>
                              <w:sz w:val="20"/>
                            </w:rPr>
                            <w:t>4</w:t>
                          </w:r>
                          <w:r>
                            <w:rPr>
                              <w:rFonts w:ascii="Palatino Linotype" w:hAnsi="Palatino Linotype"/>
                              <w:spacing w:val="-3"/>
                              <w:sz w:val="20"/>
                            </w:rPr>
                            <w:t xml:space="preserve"> </w:t>
                          </w:r>
                          <w:r>
                            <w:rPr>
                              <w:rFonts w:ascii="Palatino Linotype" w:hAnsi="Palatino Linotype"/>
                              <w:sz w:val="20"/>
                            </w:rPr>
                            <w:t>:</w:t>
                          </w:r>
                          <w:r>
                            <w:rPr>
                              <w:rFonts w:ascii="Palatino Linotype" w:hAnsi="Palatino Linotype"/>
                              <w:spacing w:val="-4"/>
                              <w:sz w:val="20"/>
                            </w:rPr>
                            <w:t xml:space="preserve"> </w:t>
                          </w:r>
                          <w:r>
                            <w:rPr>
                              <w:rFonts w:ascii="Palatino Linotype" w:hAnsi="Palatino Linotype"/>
                              <w:sz w:val="20"/>
                            </w:rPr>
                            <w:t>Numéro</w:t>
                          </w:r>
                          <w:r>
                            <w:rPr>
                              <w:rFonts w:ascii="Palatino Linotype" w:hAnsi="Palatino Linotype"/>
                              <w:spacing w:val="-5"/>
                              <w:sz w:val="20"/>
                            </w:rPr>
                            <w:t xml:space="preserve"> </w:t>
                          </w:r>
                          <w:r>
                            <w:rPr>
                              <w:rFonts w:ascii="Palatino Linotype" w:hAnsi="Palatino Linotype"/>
                              <w:spacing w:val="-10"/>
                              <w:sz w:val="20"/>
                            </w:rPr>
                            <w:t>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69.95pt;margin-top:34.7pt;width:187.1pt;height:55.95pt;z-index:-1689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" filled="f" stroked="f">
              <v:textbox inset="0,0,0,0">
                <w:txbxContent>
                  <w:p w:rsidR="00931690" w:rsidRDefault="00931690">
                    <w:pPr>
                      <w:spacing w:line="264" w:lineRule="exact"/>
                      <w:ind w:left="7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931690" w:rsidRDefault="00931690">
                    <w:pPr>
                      <w:spacing w:before="8"/>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p w:rsidR="00931690" w:rsidRDefault="00931690">
                    <w:pPr>
                      <w:spacing w:before="26" w:line="274" w:lineRule="exact"/>
                      <w:ind w:left="20"/>
                      <w:rPr>
                        <w:sz w:val="24"/>
                      </w:rPr>
                    </w:pPr>
                    <w:r>
                      <w:rPr>
                        <w:rFonts w:ascii="Palatino Linotype"/>
                        <w:sz w:val="20"/>
                      </w:rPr>
                      <w:t>ISSN</w:t>
                    </w:r>
                    <w:r>
                      <w:rPr>
                        <w:rFonts w:ascii="Palatino Linotype"/>
                        <w:spacing w:val="-3"/>
                        <w:sz w:val="20"/>
                      </w:rPr>
                      <w:t xml:space="preserve"> </w:t>
                    </w:r>
                    <w:r>
                      <w:rPr>
                        <w:rFonts w:ascii="Palatino Linotype"/>
                        <w:sz w:val="20"/>
                      </w:rPr>
                      <w:t>:</w:t>
                    </w:r>
                    <w:r>
                      <w:rPr>
                        <w:rFonts w:ascii="Palatino Linotype"/>
                        <w:spacing w:val="7"/>
                        <w:sz w:val="20"/>
                      </w:rPr>
                      <w:t xml:space="preserve"> </w:t>
                    </w:r>
                    <w:r w:rsidRPr="00D6206D">
                      <w:rPr>
                        <w:sz w:val="24"/>
                      </w:rPr>
                      <w:t>2724-</w:t>
                    </w:r>
                    <w:r w:rsidRPr="00D6206D">
                      <w:rPr>
                        <w:spacing w:val="-4"/>
                        <w:sz w:val="24"/>
                      </w:rPr>
                      <w:t>7260</w:t>
                    </w:r>
                  </w:p>
                  <w:p w:rsidR="00931690" w:rsidRDefault="00931690">
                    <w:pPr>
                      <w:spacing w:line="260" w:lineRule="exact"/>
                      <w:ind w:left="20"/>
                      <w:rPr>
                        <w:rFonts w:ascii="Palatino Linotype" w:hAnsi="Palatino Linotype"/>
                        <w:sz w:val="20"/>
                      </w:rPr>
                    </w:pPr>
                    <w:r>
                      <w:rPr>
                        <w:rFonts w:ascii="Palatino Linotype" w:hAnsi="Palatino Linotype"/>
                        <w:sz w:val="20"/>
                      </w:rPr>
                      <w:t>Volume</w:t>
                    </w:r>
                    <w:r>
                      <w:rPr>
                        <w:rFonts w:ascii="Palatino Linotype" w:hAnsi="Palatino Linotype"/>
                        <w:spacing w:val="-4"/>
                        <w:sz w:val="20"/>
                      </w:rPr>
                      <w:t xml:space="preserve"> </w:t>
                    </w:r>
                    <w:r>
                      <w:rPr>
                        <w:rFonts w:ascii="Palatino Linotype" w:hAnsi="Palatino Linotype"/>
                        <w:sz w:val="20"/>
                      </w:rPr>
                      <w:t>4</w:t>
                    </w:r>
                    <w:r>
                      <w:rPr>
                        <w:rFonts w:ascii="Palatino Linotype" w:hAnsi="Palatino Linotype"/>
                        <w:spacing w:val="-3"/>
                        <w:sz w:val="20"/>
                      </w:rPr>
                      <w:t xml:space="preserve"> </w:t>
                    </w:r>
                    <w:r>
                      <w:rPr>
                        <w:rFonts w:ascii="Palatino Linotype" w:hAnsi="Palatino Linotype"/>
                        <w:sz w:val="20"/>
                      </w:rPr>
                      <w:t>:</w:t>
                    </w:r>
                    <w:r>
                      <w:rPr>
                        <w:rFonts w:ascii="Palatino Linotype" w:hAnsi="Palatino Linotype"/>
                        <w:spacing w:val="-4"/>
                        <w:sz w:val="20"/>
                      </w:rPr>
                      <w:t xml:space="preserve"> </w:t>
                    </w:r>
                    <w:r>
                      <w:rPr>
                        <w:rFonts w:ascii="Palatino Linotype" w:hAnsi="Palatino Linotype"/>
                        <w:sz w:val="20"/>
                      </w:rPr>
                      <w:t>Numéro</w:t>
                    </w:r>
                    <w:r>
                      <w:rPr>
                        <w:rFonts w:ascii="Palatino Linotype" w:hAnsi="Palatino Linotype"/>
                        <w:spacing w:val="-5"/>
                        <w:sz w:val="20"/>
                      </w:rPr>
                      <w:t xml:space="preserve"> </w:t>
                    </w:r>
                    <w:r>
                      <w:rPr>
                        <w:rFonts w:ascii="Palatino Linotype" w:hAnsi="Palatino Linotype"/>
                        <w:spacing w:val="-10"/>
                        <w:sz w:val="20"/>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A31" w:rsidRDefault="00D61A31" w:rsidP="00D61A31">
    <w:pPr>
      <w:pStyle w:val="Corpsdetexte"/>
      <w:spacing w:line="14" w:lineRule="auto"/>
      <w:rPr>
        <w:sz w:val="20"/>
      </w:rPr>
    </w:pPr>
    <w:r>
      <w:rPr>
        <w:noProof/>
        <w:sz w:val="20"/>
      </w:rPr>
      <w:drawing>
        <wp:anchor distT="0" distB="0" distL="0" distR="0" simplePos="0" relativeHeight="486426624" behindDoc="1" locked="0" layoutInCell="1" allowOverlap="1" wp14:anchorId="3BBD48CF" wp14:editId="679EF5E1">
          <wp:simplePos x="0" y="0"/>
          <wp:positionH relativeFrom="page">
            <wp:posOffset>5340891</wp:posOffset>
          </wp:positionH>
          <wp:positionV relativeFrom="page">
            <wp:posOffset>375481</wp:posOffset>
          </wp:positionV>
          <wp:extent cx="1440085" cy="393516"/>
          <wp:effectExtent l="0" t="0" r="0" b="0"/>
          <wp:wrapNone/>
          <wp:docPr id="569" name="Image 5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40085" cy="393516"/>
                  </a:xfrm>
                  <a:prstGeom prst="rect">
                    <a:avLst/>
                  </a:prstGeom>
                </pic:spPr>
              </pic:pic>
            </a:graphicData>
          </a:graphic>
        </wp:anchor>
      </w:drawing>
    </w:r>
    <w:r>
      <w:rPr>
        <w:noProof/>
        <w:sz w:val="20"/>
      </w:rPr>
      <mc:AlternateContent>
        <mc:Choice Requires="wps">
          <w:drawing>
            <wp:anchor distT="0" distB="0" distL="0" distR="0" simplePos="0" relativeHeight="486427648" behindDoc="1" locked="0" layoutInCell="1" allowOverlap="1" wp14:anchorId="584B99EB" wp14:editId="675CBCC3">
              <wp:simplePos x="0" y="0"/>
              <wp:positionH relativeFrom="page">
                <wp:posOffset>888288</wp:posOffset>
              </wp:positionH>
              <wp:positionV relativeFrom="page">
                <wp:posOffset>440480</wp:posOffset>
              </wp:positionV>
              <wp:extent cx="2376170" cy="710565"/>
              <wp:effectExtent l="0" t="0" r="0" b="0"/>
              <wp:wrapNone/>
              <wp:docPr id="568"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6170" cy="710565"/>
                      </a:xfrm>
                      <a:prstGeom prst="rect">
                        <a:avLst/>
                      </a:prstGeom>
                    </wps:spPr>
                    <wps:txbx>
                      <w:txbxContent>
                        <w:p w:rsidR="00D61A31" w:rsidRDefault="00D61A31" w:rsidP="00D61A31">
                          <w:pPr>
                            <w:spacing w:line="264" w:lineRule="exact"/>
                            <w:ind w:left="7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D61A31" w:rsidRDefault="00D61A31" w:rsidP="00D61A31">
                          <w:pPr>
                            <w:spacing w:before="8"/>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p w:rsidR="00D61A31" w:rsidRDefault="00D61A31" w:rsidP="00D61A31">
                          <w:pPr>
                            <w:spacing w:before="26" w:line="274" w:lineRule="exact"/>
                            <w:ind w:left="20"/>
                            <w:rPr>
                              <w:sz w:val="24"/>
                            </w:rPr>
                          </w:pPr>
                          <w:r>
                            <w:rPr>
                              <w:rFonts w:ascii="Palatino Linotype"/>
                              <w:sz w:val="20"/>
                            </w:rPr>
                            <w:t>ISSN</w:t>
                          </w:r>
                          <w:r>
                            <w:rPr>
                              <w:rFonts w:ascii="Palatino Linotype"/>
                              <w:spacing w:val="-3"/>
                              <w:sz w:val="20"/>
                            </w:rPr>
                            <w:t xml:space="preserve"> </w:t>
                          </w:r>
                          <w:r>
                            <w:rPr>
                              <w:rFonts w:ascii="Palatino Linotype"/>
                              <w:sz w:val="20"/>
                            </w:rPr>
                            <w:t>:</w:t>
                          </w:r>
                          <w:r>
                            <w:rPr>
                              <w:rFonts w:ascii="Palatino Linotype"/>
                              <w:spacing w:val="7"/>
                              <w:sz w:val="20"/>
                            </w:rPr>
                            <w:t xml:space="preserve"> </w:t>
                          </w:r>
                          <w:r w:rsidRPr="00C91422">
                            <w:rPr>
                              <w:sz w:val="24"/>
                            </w:rPr>
                            <w:t>2724-</w:t>
                          </w:r>
                          <w:r w:rsidRPr="00C91422">
                            <w:rPr>
                              <w:spacing w:val="-4"/>
                              <w:sz w:val="24"/>
                            </w:rPr>
                            <w:t>7260</w:t>
                          </w:r>
                        </w:p>
                        <w:p w:rsidR="00D61A31" w:rsidRDefault="00D61A31" w:rsidP="00D61A31">
                          <w:pPr>
                            <w:spacing w:line="260" w:lineRule="exact"/>
                            <w:ind w:left="20"/>
                            <w:rPr>
                              <w:rFonts w:ascii="Palatino Linotype" w:hAnsi="Palatino Linotype"/>
                              <w:sz w:val="20"/>
                            </w:rPr>
                          </w:pPr>
                          <w:r>
                            <w:rPr>
                              <w:rFonts w:ascii="Palatino Linotype" w:hAnsi="Palatino Linotype"/>
                              <w:sz w:val="20"/>
                            </w:rPr>
                            <w:t>Volume</w:t>
                          </w:r>
                          <w:r>
                            <w:rPr>
                              <w:rFonts w:ascii="Palatino Linotype" w:hAnsi="Palatino Linotype"/>
                              <w:spacing w:val="-4"/>
                              <w:sz w:val="20"/>
                            </w:rPr>
                            <w:t xml:space="preserve"> </w:t>
                          </w:r>
                          <w:r>
                            <w:rPr>
                              <w:rFonts w:ascii="Palatino Linotype" w:hAnsi="Palatino Linotype"/>
                              <w:sz w:val="20"/>
                            </w:rPr>
                            <w:t>4</w:t>
                          </w:r>
                          <w:r>
                            <w:rPr>
                              <w:rFonts w:ascii="Palatino Linotype" w:hAnsi="Palatino Linotype"/>
                              <w:spacing w:val="-3"/>
                              <w:sz w:val="20"/>
                            </w:rPr>
                            <w:t xml:space="preserve"> </w:t>
                          </w:r>
                          <w:r>
                            <w:rPr>
                              <w:rFonts w:ascii="Palatino Linotype" w:hAnsi="Palatino Linotype"/>
                              <w:sz w:val="20"/>
                            </w:rPr>
                            <w:t>:</w:t>
                          </w:r>
                          <w:r>
                            <w:rPr>
                              <w:rFonts w:ascii="Palatino Linotype" w:hAnsi="Palatino Linotype"/>
                              <w:spacing w:val="-4"/>
                              <w:sz w:val="20"/>
                            </w:rPr>
                            <w:t xml:space="preserve"> </w:t>
                          </w:r>
                          <w:r>
                            <w:rPr>
                              <w:rFonts w:ascii="Palatino Linotype" w:hAnsi="Palatino Linotype"/>
                              <w:sz w:val="20"/>
                            </w:rPr>
                            <w:t>Numéro</w:t>
                          </w:r>
                          <w:r>
                            <w:rPr>
                              <w:rFonts w:ascii="Palatino Linotype" w:hAnsi="Palatino Linotype"/>
                              <w:spacing w:val="-5"/>
                              <w:sz w:val="20"/>
                            </w:rPr>
                            <w:t xml:space="preserve"> </w:t>
                          </w:r>
                          <w:r>
                            <w:rPr>
                              <w:rFonts w:ascii="Palatino Linotype" w:hAnsi="Palatino Linotype"/>
                              <w:spacing w:val="-10"/>
                              <w:sz w:val="20"/>
                            </w:rPr>
                            <w:t>2</w:t>
                          </w:r>
                        </w:p>
                      </w:txbxContent>
                    </wps:txbx>
                    <wps:bodyPr wrap="square" lIns="0" tIns="0" rIns="0" bIns="0" rtlCol="0">
                      <a:noAutofit/>
                    </wps:bodyPr>
                  </wps:wsp>
                </a:graphicData>
              </a:graphic>
            </wp:anchor>
          </w:drawing>
        </mc:Choice>
        <mc:Fallback>
          <w:pict>
            <v:shapetype w14:anchorId="584B99EB" id="_x0000_t202" coordsize="21600,21600" o:spt="202" path="m,l,21600r21600,l21600,xe">
              <v:stroke joinstyle="miter"/>
              <v:path gradientshapeok="t" o:connecttype="rect"/>
            </v:shapetype>
            <v:shape id="_x0000_s1030" type="#_x0000_t202" style="position:absolute;margin-left:69.95pt;margin-top:34.7pt;width:187.1pt;height:55.95pt;z-index:-1688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" filled="f" stroked="f">
              <v:textbox inset="0,0,0,0">
                <w:txbxContent>
                  <w:p w:rsidR="00D61A31" w:rsidRDefault="00D61A31" w:rsidP="00D61A31">
                    <w:pPr>
                      <w:spacing w:line="264" w:lineRule="exact"/>
                      <w:ind w:left="70"/>
                      <w:rPr>
                        <w:rFonts w:ascii="Palatino Linotype"/>
                        <w:b/>
                        <w:sz w:val="20"/>
                      </w:rPr>
                    </w:pPr>
                    <w:r>
                      <w:rPr>
                        <w:rFonts w:ascii="Palatino Linotype"/>
                        <w:b/>
                        <w:sz w:val="20"/>
                      </w:rPr>
                      <w:t>Revue</w:t>
                    </w:r>
                    <w:r>
                      <w:rPr>
                        <w:rFonts w:ascii="Palatino Linotype"/>
                        <w:b/>
                        <w:spacing w:val="-8"/>
                        <w:sz w:val="20"/>
                      </w:rPr>
                      <w:t xml:space="preserve"> </w:t>
                    </w:r>
                    <w:r>
                      <w:rPr>
                        <w:rFonts w:ascii="Palatino Linotype"/>
                        <w:b/>
                        <w:sz w:val="20"/>
                      </w:rPr>
                      <w:t>Internationale</w:t>
                    </w:r>
                    <w:r>
                      <w:rPr>
                        <w:rFonts w:ascii="Palatino Linotype"/>
                        <w:b/>
                        <w:spacing w:val="-7"/>
                        <w:sz w:val="20"/>
                      </w:rPr>
                      <w:t xml:space="preserve"> </w:t>
                    </w:r>
                    <w:r>
                      <w:rPr>
                        <w:rFonts w:ascii="Palatino Linotype"/>
                        <w:b/>
                        <w:spacing w:val="-2"/>
                        <w:sz w:val="20"/>
                      </w:rPr>
                      <w:t>Multidisciplinaire</w:t>
                    </w:r>
                  </w:p>
                  <w:p w:rsidR="00D61A31" w:rsidRDefault="00D61A31" w:rsidP="00D61A31">
                    <w:pPr>
                      <w:spacing w:before="8"/>
                      <w:ind w:left="20"/>
                      <w:rPr>
                        <w:rFonts w:ascii="Palatino Linotype" w:hAnsi="Palatino Linotype"/>
                        <w:b/>
                        <w:sz w:val="20"/>
                      </w:rPr>
                    </w:pPr>
                    <w:r>
                      <w:rPr>
                        <w:rFonts w:ascii="Palatino Linotype" w:hAnsi="Palatino Linotype"/>
                        <w:b/>
                        <w:sz w:val="20"/>
                      </w:rPr>
                      <w:t>D’Economie</w:t>
                    </w:r>
                    <w:r>
                      <w:rPr>
                        <w:rFonts w:ascii="Palatino Linotype" w:hAnsi="Palatino Linotype"/>
                        <w:b/>
                        <w:spacing w:val="-4"/>
                        <w:sz w:val="20"/>
                      </w:rPr>
                      <w:t xml:space="preserve"> </w:t>
                    </w:r>
                    <w:r>
                      <w:rPr>
                        <w:rFonts w:ascii="Palatino Linotype" w:hAnsi="Palatino Linotype"/>
                        <w:b/>
                        <w:sz w:val="20"/>
                      </w:rPr>
                      <w:t>et</w:t>
                    </w:r>
                    <w:r>
                      <w:rPr>
                        <w:rFonts w:ascii="Palatino Linotype" w:hAnsi="Palatino Linotype"/>
                        <w:b/>
                        <w:spacing w:val="-5"/>
                        <w:sz w:val="20"/>
                      </w:rPr>
                      <w:t xml:space="preserve"> </w:t>
                    </w:r>
                    <w:r>
                      <w:rPr>
                        <w:rFonts w:ascii="Palatino Linotype" w:hAnsi="Palatino Linotype"/>
                        <w:b/>
                        <w:sz w:val="20"/>
                      </w:rPr>
                      <w:t>de</w:t>
                    </w:r>
                    <w:r>
                      <w:rPr>
                        <w:rFonts w:ascii="Palatino Linotype" w:hAnsi="Palatino Linotype"/>
                        <w:b/>
                        <w:spacing w:val="-4"/>
                        <w:sz w:val="20"/>
                      </w:rPr>
                      <w:t xml:space="preserve"> </w:t>
                    </w:r>
                    <w:r>
                      <w:rPr>
                        <w:rFonts w:ascii="Palatino Linotype" w:hAnsi="Palatino Linotype"/>
                        <w:b/>
                        <w:spacing w:val="-2"/>
                        <w:sz w:val="20"/>
                      </w:rPr>
                      <w:t>Gestion</w:t>
                    </w:r>
                  </w:p>
                  <w:p w:rsidR="00D61A31" w:rsidRDefault="00D61A31" w:rsidP="00D61A31">
                    <w:pPr>
                      <w:spacing w:before="26" w:line="274" w:lineRule="exact"/>
                      <w:ind w:left="20"/>
                      <w:rPr>
                        <w:sz w:val="24"/>
                      </w:rPr>
                    </w:pPr>
                    <w:r>
                      <w:rPr>
                        <w:rFonts w:ascii="Palatino Linotype"/>
                        <w:sz w:val="20"/>
                      </w:rPr>
                      <w:t>ISSN</w:t>
                    </w:r>
                    <w:r>
                      <w:rPr>
                        <w:rFonts w:ascii="Palatino Linotype"/>
                        <w:spacing w:val="-3"/>
                        <w:sz w:val="20"/>
                      </w:rPr>
                      <w:t xml:space="preserve"> </w:t>
                    </w:r>
                    <w:r>
                      <w:rPr>
                        <w:rFonts w:ascii="Palatino Linotype"/>
                        <w:sz w:val="20"/>
                      </w:rPr>
                      <w:t>:</w:t>
                    </w:r>
                    <w:r>
                      <w:rPr>
                        <w:rFonts w:ascii="Palatino Linotype"/>
                        <w:spacing w:val="7"/>
                        <w:sz w:val="20"/>
                      </w:rPr>
                      <w:t xml:space="preserve"> </w:t>
                    </w:r>
                    <w:r w:rsidRPr="00C91422">
                      <w:rPr>
                        <w:sz w:val="24"/>
                      </w:rPr>
                      <w:t>2724-</w:t>
                    </w:r>
                    <w:r w:rsidRPr="00C91422">
                      <w:rPr>
                        <w:spacing w:val="-4"/>
                        <w:sz w:val="24"/>
                      </w:rPr>
                      <w:t>7260</w:t>
                    </w:r>
                  </w:p>
                  <w:p w:rsidR="00D61A31" w:rsidRDefault="00D61A31" w:rsidP="00D61A31">
                    <w:pPr>
                      <w:spacing w:line="260" w:lineRule="exact"/>
                      <w:ind w:left="20"/>
                      <w:rPr>
                        <w:rFonts w:ascii="Palatino Linotype" w:hAnsi="Palatino Linotype"/>
                        <w:sz w:val="20"/>
                      </w:rPr>
                    </w:pPr>
                    <w:r>
                      <w:rPr>
                        <w:rFonts w:ascii="Palatino Linotype" w:hAnsi="Palatino Linotype"/>
                        <w:sz w:val="20"/>
                      </w:rPr>
                      <w:t>Volume</w:t>
                    </w:r>
                    <w:r>
                      <w:rPr>
                        <w:rFonts w:ascii="Palatino Linotype" w:hAnsi="Palatino Linotype"/>
                        <w:spacing w:val="-4"/>
                        <w:sz w:val="20"/>
                      </w:rPr>
                      <w:t xml:space="preserve"> </w:t>
                    </w:r>
                    <w:r>
                      <w:rPr>
                        <w:rFonts w:ascii="Palatino Linotype" w:hAnsi="Palatino Linotype"/>
                        <w:sz w:val="20"/>
                      </w:rPr>
                      <w:t>4</w:t>
                    </w:r>
                    <w:r>
                      <w:rPr>
                        <w:rFonts w:ascii="Palatino Linotype" w:hAnsi="Palatino Linotype"/>
                        <w:spacing w:val="-3"/>
                        <w:sz w:val="20"/>
                      </w:rPr>
                      <w:t xml:space="preserve"> </w:t>
                    </w:r>
                    <w:r>
                      <w:rPr>
                        <w:rFonts w:ascii="Palatino Linotype" w:hAnsi="Palatino Linotype"/>
                        <w:sz w:val="20"/>
                      </w:rPr>
                      <w:t>:</w:t>
                    </w:r>
                    <w:r>
                      <w:rPr>
                        <w:rFonts w:ascii="Palatino Linotype" w:hAnsi="Palatino Linotype"/>
                        <w:spacing w:val="-4"/>
                        <w:sz w:val="20"/>
                      </w:rPr>
                      <w:t xml:space="preserve"> </w:t>
                    </w:r>
                    <w:r>
                      <w:rPr>
                        <w:rFonts w:ascii="Palatino Linotype" w:hAnsi="Palatino Linotype"/>
                        <w:sz w:val="20"/>
                      </w:rPr>
                      <w:t>Numéro</w:t>
                    </w:r>
                    <w:r>
                      <w:rPr>
                        <w:rFonts w:ascii="Palatino Linotype" w:hAnsi="Palatino Linotype"/>
                        <w:spacing w:val="-5"/>
                        <w:sz w:val="20"/>
                      </w:rPr>
                      <w:t xml:space="preserve"> </w:t>
                    </w:r>
                    <w:r>
                      <w:rPr>
                        <w:rFonts w:ascii="Palatino Linotype" w:hAnsi="Palatino Linotype"/>
                        <w:spacing w:val="-10"/>
                        <w:sz w:val="20"/>
                      </w:rPr>
                      <w:t>2</w:t>
                    </w:r>
                  </w:p>
                </w:txbxContent>
              </v:textbox>
              <w10:wrap anchorx="page" anchory="page"/>
            </v:shape>
          </w:pict>
        </mc:Fallback>
      </mc:AlternateContent>
    </w:r>
  </w:p>
  <w:p w:rsidR="00931690" w:rsidRDefault="00931690" w:rsidP="0093169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22A5A"/>
    <w:multiLevelType w:val="multilevel"/>
    <w:tmpl w:val="1154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4657BD"/>
    <w:multiLevelType w:val="multilevel"/>
    <w:tmpl w:val="2BEC4956"/>
    <w:lvl w:ilvl="0">
      <w:start w:val="1"/>
      <w:numFmt w:val="decimal"/>
      <w:lvlText w:val="%1."/>
      <w:lvlJc w:val="left"/>
      <w:pPr>
        <w:ind w:left="1146" w:hanging="360"/>
      </w:pPr>
      <w:rPr>
        <w:rFonts w:hint="default"/>
        <w:spacing w:val="0"/>
        <w:w w:val="100"/>
        <w:lang w:val="fr-FR" w:eastAsia="en-US" w:bidi="ar-SA"/>
      </w:rPr>
    </w:lvl>
    <w:lvl w:ilvl="1">
      <w:start w:val="1"/>
      <w:numFmt w:val="decimal"/>
      <w:lvlText w:val="%1.%2."/>
      <w:lvlJc w:val="left"/>
      <w:pPr>
        <w:ind w:left="1506" w:hanging="720"/>
      </w:pPr>
      <w:rPr>
        <w:rFonts w:ascii="Times New Roman" w:eastAsia="Times New Roman" w:hAnsi="Times New Roman" w:cs="Times New Roman" w:hint="default"/>
        <w:b/>
        <w:bCs/>
        <w:i w:val="0"/>
        <w:iCs w:val="0"/>
        <w:spacing w:val="0"/>
        <w:w w:val="100"/>
        <w:sz w:val="24"/>
        <w:szCs w:val="24"/>
        <w:lang w:val="fr-FR" w:eastAsia="en-US" w:bidi="ar-SA"/>
      </w:rPr>
    </w:lvl>
    <w:lvl w:ilvl="2">
      <w:numFmt w:val="bullet"/>
      <w:lvlText w:val=""/>
      <w:lvlJc w:val="left"/>
      <w:pPr>
        <w:ind w:left="1146" w:hanging="360"/>
      </w:pPr>
      <w:rPr>
        <w:rFonts w:ascii="Symbol" w:eastAsia="Symbol" w:hAnsi="Symbol" w:cs="Symbol" w:hint="default"/>
        <w:b w:val="0"/>
        <w:bCs w:val="0"/>
        <w:i w:val="0"/>
        <w:iCs w:val="0"/>
        <w:spacing w:val="0"/>
        <w:w w:val="100"/>
        <w:sz w:val="24"/>
        <w:szCs w:val="24"/>
        <w:lang w:val="fr-FR" w:eastAsia="en-US" w:bidi="ar-SA"/>
      </w:rPr>
    </w:lvl>
    <w:lvl w:ilvl="3">
      <w:numFmt w:val="bullet"/>
      <w:lvlText w:val="•"/>
      <w:lvlJc w:val="left"/>
      <w:pPr>
        <w:ind w:left="3466" w:hanging="360"/>
      </w:pPr>
      <w:rPr>
        <w:rFonts w:hint="default"/>
        <w:lang w:val="fr-FR" w:eastAsia="en-US" w:bidi="ar-SA"/>
      </w:rPr>
    </w:lvl>
    <w:lvl w:ilvl="4">
      <w:numFmt w:val="bullet"/>
      <w:lvlText w:val="•"/>
      <w:lvlJc w:val="left"/>
      <w:pPr>
        <w:ind w:left="4449" w:hanging="360"/>
      </w:pPr>
      <w:rPr>
        <w:rFonts w:hint="default"/>
        <w:lang w:val="fr-FR" w:eastAsia="en-US" w:bidi="ar-SA"/>
      </w:rPr>
    </w:lvl>
    <w:lvl w:ilvl="5">
      <w:numFmt w:val="bullet"/>
      <w:lvlText w:val="•"/>
      <w:lvlJc w:val="left"/>
      <w:pPr>
        <w:ind w:left="5432" w:hanging="360"/>
      </w:pPr>
      <w:rPr>
        <w:rFonts w:hint="default"/>
        <w:lang w:val="fr-FR" w:eastAsia="en-US" w:bidi="ar-SA"/>
      </w:rPr>
    </w:lvl>
    <w:lvl w:ilvl="6">
      <w:numFmt w:val="bullet"/>
      <w:lvlText w:val="•"/>
      <w:lvlJc w:val="left"/>
      <w:pPr>
        <w:ind w:left="6415" w:hanging="360"/>
      </w:pPr>
      <w:rPr>
        <w:rFonts w:hint="default"/>
        <w:lang w:val="fr-FR" w:eastAsia="en-US" w:bidi="ar-SA"/>
      </w:rPr>
    </w:lvl>
    <w:lvl w:ilvl="7">
      <w:numFmt w:val="bullet"/>
      <w:lvlText w:val="•"/>
      <w:lvlJc w:val="left"/>
      <w:pPr>
        <w:ind w:left="7398" w:hanging="360"/>
      </w:pPr>
      <w:rPr>
        <w:rFonts w:hint="default"/>
        <w:lang w:val="fr-FR" w:eastAsia="en-US" w:bidi="ar-SA"/>
      </w:rPr>
    </w:lvl>
    <w:lvl w:ilvl="8">
      <w:numFmt w:val="bullet"/>
      <w:lvlText w:val="•"/>
      <w:lvlJc w:val="left"/>
      <w:pPr>
        <w:ind w:left="8382" w:hanging="360"/>
      </w:pPr>
      <w:rPr>
        <w:rFonts w:hint="default"/>
        <w:lang w:val="fr-FR" w:eastAsia="en-US" w:bidi="ar-SA"/>
      </w:rPr>
    </w:lvl>
  </w:abstractNum>
  <w:abstractNum w:abstractNumId="2" w15:restartNumberingAfterBreak="0">
    <w:nsid w:val="271769FE"/>
    <w:multiLevelType w:val="hybridMultilevel"/>
    <w:tmpl w:val="E9BED5B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9C6503C"/>
    <w:multiLevelType w:val="multilevel"/>
    <w:tmpl w:val="A61E7FC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E73568"/>
    <w:multiLevelType w:val="hybridMultilevel"/>
    <w:tmpl w:val="0F2A3D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0EE5E85"/>
    <w:multiLevelType w:val="hybridMultilevel"/>
    <w:tmpl w:val="C31489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9F6DDB"/>
    <w:multiLevelType w:val="hybridMultilevel"/>
    <w:tmpl w:val="732A6C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36C0056"/>
    <w:multiLevelType w:val="multilevel"/>
    <w:tmpl w:val="31AE4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1F7266"/>
    <w:multiLevelType w:val="hybridMultilevel"/>
    <w:tmpl w:val="74E271BA"/>
    <w:lvl w:ilvl="0" w:tplc="886AB18C">
      <w:start w:val="1"/>
      <w:numFmt w:val="bullet"/>
      <w:lvlText w:val="•"/>
      <w:lvlJc w:val="left"/>
      <w:pPr>
        <w:ind w:left="26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FF9EFE48">
      <w:start w:val="1"/>
      <w:numFmt w:val="bullet"/>
      <w:lvlText w:val="o"/>
      <w:lvlJc w:val="left"/>
      <w:pPr>
        <w:ind w:left="108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B3928CE8">
      <w:start w:val="1"/>
      <w:numFmt w:val="bullet"/>
      <w:lvlText w:val="▪"/>
      <w:lvlJc w:val="left"/>
      <w:pPr>
        <w:ind w:left="180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F882A64">
      <w:start w:val="1"/>
      <w:numFmt w:val="bullet"/>
      <w:lvlText w:val="•"/>
      <w:lvlJc w:val="left"/>
      <w:pPr>
        <w:ind w:left="252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C9F410F2">
      <w:start w:val="1"/>
      <w:numFmt w:val="bullet"/>
      <w:lvlText w:val="o"/>
      <w:lvlJc w:val="left"/>
      <w:pPr>
        <w:ind w:left="324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5A26F0D8">
      <w:start w:val="1"/>
      <w:numFmt w:val="bullet"/>
      <w:lvlText w:val="▪"/>
      <w:lvlJc w:val="left"/>
      <w:pPr>
        <w:ind w:left="396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52A04A1C">
      <w:start w:val="1"/>
      <w:numFmt w:val="bullet"/>
      <w:lvlText w:val="•"/>
      <w:lvlJc w:val="left"/>
      <w:pPr>
        <w:ind w:left="468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3EAE164">
      <w:start w:val="1"/>
      <w:numFmt w:val="bullet"/>
      <w:lvlText w:val="o"/>
      <w:lvlJc w:val="left"/>
      <w:pPr>
        <w:ind w:left="540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718075E">
      <w:start w:val="1"/>
      <w:numFmt w:val="bullet"/>
      <w:lvlText w:val="▪"/>
      <w:lvlJc w:val="left"/>
      <w:pPr>
        <w:ind w:left="6123"/>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49DA72BA"/>
    <w:multiLevelType w:val="hybridMultilevel"/>
    <w:tmpl w:val="4D2CEE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CB611F"/>
    <w:multiLevelType w:val="hybridMultilevel"/>
    <w:tmpl w:val="951AA2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1E20090"/>
    <w:multiLevelType w:val="hybridMultilevel"/>
    <w:tmpl w:val="6D829106"/>
    <w:lvl w:ilvl="0" w:tplc="E3A0F820">
      <w:start w:val="3"/>
      <w:numFmt w:val="bullet"/>
      <w:lvlText w:val="-"/>
      <w:lvlJc w:val="left"/>
      <w:pPr>
        <w:ind w:left="587" w:hanging="360"/>
      </w:pPr>
      <w:rPr>
        <w:rFonts w:ascii="Times New Roman" w:eastAsia="Times New Roman" w:hAnsi="Times New Roman" w:cs="Times New Roman" w:hint="default"/>
      </w:rPr>
    </w:lvl>
    <w:lvl w:ilvl="1" w:tplc="040C0003" w:tentative="1">
      <w:start w:val="1"/>
      <w:numFmt w:val="bullet"/>
      <w:lvlText w:val="o"/>
      <w:lvlJc w:val="left"/>
      <w:pPr>
        <w:ind w:left="1307" w:hanging="360"/>
      </w:pPr>
      <w:rPr>
        <w:rFonts w:ascii="Courier New" w:hAnsi="Courier New" w:cs="Courier New" w:hint="default"/>
      </w:rPr>
    </w:lvl>
    <w:lvl w:ilvl="2" w:tplc="040C0005" w:tentative="1">
      <w:start w:val="1"/>
      <w:numFmt w:val="bullet"/>
      <w:lvlText w:val=""/>
      <w:lvlJc w:val="left"/>
      <w:pPr>
        <w:ind w:left="2027" w:hanging="360"/>
      </w:pPr>
      <w:rPr>
        <w:rFonts w:ascii="Wingdings" w:hAnsi="Wingdings" w:hint="default"/>
      </w:rPr>
    </w:lvl>
    <w:lvl w:ilvl="3" w:tplc="040C0001" w:tentative="1">
      <w:start w:val="1"/>
      <w:numFmt w:val="bullet"/>
      <w:lvlText w:val=""/>
      <w:lvlJc w:val="left"/>
      <w:pPr>
        <w:ind w:left="2747" w:hanging="360"/>
      </w:pPr>
      <w:rPr>
        <w:rFonts w:ascii="Symbol" w:hAnsi="Symbol" w:hint="default"/>
      </w:rPr>
    </w:lvl>
    <w:lvl w:ilvl="4" w:tplc="040C0003" w:tentative="1">
      <w:start w:val="1"/>
      <w:numFmt w:val="bullet"/>
      <w:lvlText w:val="o"/>
      <w:lvlJc w:val="left"/>
      <w:pPr>
        <w:ind w:left="3467" w:hanging="360"/>
      </w:pPr>
      <w:rPr>
        <w:rFonts w:ascii="Courier New" w:hAnsi="Courier New" w:cs="Courier New" w:hint="default"/>
      </w:rPr>
    </w:lvl>
    <w:lvl w:ilvl="5" w:tplc="040C0005" w:tentative="1">
      <w:start w:val="1"/>
      <w:numFmt w:val="bullet"/>
      <w:lvlText w:val=""/>
      <w:lvlJc w:val="left"/>
      <w:pPr>
        <w:ind w:left="4187" w:hanging="360"/>
      </w:pPr>
      <w:rPr>
        <w:rFonts w:ascii="Wingdings" w:hAnsi="Wingdings" w:hint="default"/>
      </w:rPr>
    </w:lvl>
    <w:lvl w:ilvl="6" w:tplc="040C0001" w:tentative="1">
      <w:start w:val="1"/>
      <w:numFmt w:val="bullet"/>
      <w:lvlText w:val=""/>
      <w:lvlJc w:val="left"/>
      <w:pPr>
        <w:ind w:left="4907" w:hanging="360"/>
      </w:pPr>
      <w:rPr>
        <w:rFonts w:ascii="Symbol" w:hAnsi="Symbol" w:hint="default"/>
      </w:rPr>
    </w:lvl>
    <w:lvl w:ilvl="7" w:tplc="040C0003" w:tentative="1">
      <w:start w:val="1"/>
      <w:numFmt w:val="bullet"/>
      <w:lvlText w:val="o"/>
      <w:lvlJc w:val="left"/>
      <w:pPr>
        <w:ind w:left="5627" w:hanging="360"/>
      </w:pPr>
      <w:rPr>
        <w:rFonts w:ascii="Courier New" w:hAnsi="Courier New" w:cs="Courier New" w:hint="default"/>
      </w:rPr>
    </w:lvl>
    <w:lvl w:ilvl="8" w:tplc="040C0005" w:tentative="1">
      <w:start w:val="1"/>
      <w:numFmt w:val="bullet"/>
      <w:lvlText w:val=""/>
      <w:lvlJc w:val="left"/>
      <w:pPr>
        <w:ind w:left="6347" w:hanging="360"/>
      </w:pPr>
      <w:rPr>
        <w:rFonts w:ascii="Wingdings" w:hAnsi="Wingdings" w:hint="default"/>
      </w:rPr>
    </w:lvl>
  </w:abstractNum>
  <w:abstractNum w:abstractNumId="12" w15:restartNumberingAfterBreak="0">
    <w:nsid w:val="56247507"/>
    <w:multiLevelType w:val="hybridMultilevel"/>
    <w:tmpl w:val="98CE8F2E"/>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90B3EDB"/>
    <w:multiLevelType w:val="hybridMultilevel"/>
    <w:tmpl w:val="35E61AC2"/>
    <w:lvl w:ilvl="0" w:tplc="040C0013">
      <w:start w:val="1"/>
      <w:numFmt w:val="upperRoman"/>
      <w:lvlText w:val="%1."/>
      <w:lvlJc w:val="righ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14" w15:restartNumberingAfterBreak="0">
    <w:nsid w:val="5A652A6A"/>
    <w:multiLevelType w:val="multilevel"/>
    <w:tmpl w:val="D9A4084C"/>
    <w:lvl w:ilvl="0">
      <w:start w:val="5"/>
      <w:numFmt w:val="decimal"/>
      <w:lvlText w:val="%1"/>
      <w:lvlJc w:val="left"/>
      <w:pPr>
        <w:ind w:left="360" w:hanging="360"/>
      </w:pPr>
      <w:rPr>
        <w:rFonts w:ascii="Times New Roman" w:hAnsi="Times New Roman" w:cs="Times New Roman" w:hint="default"/>
        <w:i/>
      </w:rPr>
    </w:lvl>
    <w:lvl w:ilvl="1">
      <w:start w:val="1"/>
      <w:numFmt w:val="decimal"/>
      <w:lvlText w:val="%1.%2"/>
      <w:lvlJc w:val="left"/>
      <w:pPr>
        <w:ind w:left="360" w:hanging="360"/>
      </w:pPr>
      <w:rPr>
        <w:rFonts w:ascii="Times New Roman" w:hAnsi="Times New Roman" w:cs="Times New Roman" w:hint="default"/>
        <w:i/>
      </w:rPr>
    </w:lvl>
    <w:lvl w:ilvl="2">
      <w:start w:val="1"/>
      <w:numFmt w:val="decimal"/>
      <w:lvlText w:val="%1.%2.%3"/>
      <w:lvlJc w:val="left"/>
      <w:pPr>
        <w:ind w:left="720" w:hanging="720"/>
      </w:pPr>
      <w:rPr>
        <w:rFonts w:ascii="Times New Roman" w:hAnsi="Times New Roman" w:cs="Times New Roman" w:hint="default"/>
        <w:i/>
      </w:rPr>
    </w:lvl>
    <w:lvl w:ilvl="3">
      <w:start w:val="1"/>
      <w:numFmt w:val="decimal"/>
      <w:lvlText w:val="%1.%2.%3.%4"/>
      <w:lvlJc w:val="left"/>
      <w:pPr>
        <w:ind w:left="720" w:hanging="720"/>
      </w:pPr>
      <w:rPr>
        <w:rFonts w:ascii="Times New Roman" w:hAnsi="Times New Roman" w:cs="Times New Roman" w:hint="default"/>
        <w:i/>
      </w:rPr>
    </w:lvl>
    <w:lvl w:ilvl="4">
      <w:start w:val="1"/>
      <w:numFmt w:val="decimal"/>
      <w:lvlText w:val="%1.%2.%3.%4.%5"/>
      <w:lvlJc w:val="left"/>
      <w:pPr>
        <w:ind w:left="1080" w:hanging="1080"/>
      </w:pPr>
      <w:rPr>
        <w:rFonts w:ascii="Times New Roman" w:hAnsi="Times New Roman" w:cs="Times New Roman" w:hint="default"/>
        <w:i/>
      </w:rPr>
    </w:lvl>
    <w:lvl w:ilvl="5">
      <w:start w:val="1"/>
      <w:numFmt w:val="decimal"/>
      <w:lvlText w:val="%1.%2.%3.%4.%5.%6"/>
      <w:lvlJc w:val="left"/>
      <w:pPr>
        <w:ind w:left="1080" w:hanging="1080"/>
      </w:pPr>
      <w:rPr>
        <w:rFonts w:ascii="Times New Roman" w:hAnsi="Times New Roman" w:cs="Times New Roman" w:hint="default"/>
        <w:i/>
      </w:rPr>
    </w:lvl>
    <w:lvl w:ilvl="6">
      <w:start w:val="1"/>
      <w:numFmt w:val="decimal"/>
      <w:lvlText w:val="%1.%2.%3.%4.%5.%6.%7"/>
      <w:lvlJc w:val="left"/>
      <w:pPr>
        <w:ind w:left="1440" w:hanging="1440"/>
      </w:pPr>
      <w:rPr>
        <w:rFonts w:ascii="Times New Roman" w:hAnsi="Times New Roman" w:cs="Times New Roman" w:hint="default"/>
        <w:i/>
      </w:rPr>
    </w:lvl>
    <w:lvl w:ilvl="7">
      <w:start w:val="1"/>
      <w:numFmt w:val="decimal"/>
      <w:lvlText w:val="%1.%2.%3.%4.%5.%6.%7.%8"/>
      <w:lvlJc w:val="left"/>
      <w:pPr>
        <w:ind w:left="1440" w:hanging="1440"/>
      </w:pPr>
      <w:rPr>
        <w:rFonts w:ascii="Times New Roman" w:hAnsi="Times New Roman" w:cs="Times New Roman" w:hint="default"/>
        <w:i/>
      </w:rPr>
    </w:lvl>
    <w:lvl w:ilvl="8">
      <w:start w:val="1"/>
      <w:numFmt w:val="decimal"/>
      <w:lvlText w:val="%1.%2.%3.%4.%5.%6.%7.%8.%9"/>
      <w:lvlJc w:val="left"/>
      <w:pPr>
        <w:ind w:left="1800" w:hanging="1800"/>
      </w:pPr>
      <w:rPr>
        <w:rFonts w:ascii="Times New Roman" w:hAnsi="Times New Roman" w:cs="Times New Roman" w:hint="default"/>
        <w:i/>
      </w:rPr>
    </w:lvl>
  </w:abstractNum>
  <w:abstractNum w:abstractNumId="15" w15:restartNumberingAfterBreak="0">
    <w:nsid w:val="5E9C4EE4"/>
    <w:multiLevelType w:val="hybridMultilevel"/>
    <w:tmpl w:val="8A36A55A"/>
    <w:lvl w:ilvl="0" w:tplc="CDB085E6">
      <w:numFmt w:val="bullet"/>
      <w:lvlText w:val="-"/>
      <w:lvlJc w:val="left"/>
      <w:pPr>
        <w:ind w:left="720" w:hanging="360"/>
      </w:pPr>
      <w:rPr>
        <w:rFonts w:ascii="Cambria" w:eastAsia="Cambria" w:hAnsi="Cambria" w:cs="Cambria" w:hint="default"/>
        <w:b w:val="0"/>
        <w:bCs w:val="0"/>
        <w:i w:val="0"/>
        <w:iCs w:val="0"/>
        <w:spacing w:val="0"/>
        <w:w w:val="100"/>
        <w:sz w:val="24"/>
        <w:szCs w:val="24"/>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08E7705"/>
    <w:multiLevelType w:val="multilevel"/>
    <w:tmpl w:val="8402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BF5169"/>
    <w:multiLevelType w:val="hybridMultilevel"/>
    <w:tmpl w:val="CE98572E"/>
    <w:lvl w:ilvl="0" w:tplc="040C0013">
      <w:start w:val="1"/>
      <w:numFmt w:val="upperRoman"/>
      <w:lvlText w:val="%1."/>
      <w:lvlJc w:val="right"/>
      <w:pPr>
        <w:ind w:left="1865" w:hanging="360"/>
      </w:pPr>
    </w:lvl>
    <w:lvl w:ilvl="1" w:tplc="040C0019" w:tentative="1">
      <w:start w:val="1"/>
      <w:numFmt w:val="lowerLetter"/>
      <w:lvlText w:val="%2."/>
      <w:lvlJc w:val="left"/>
      <w:pPr>
        <w:ind w:left="2585" w:hanging="360"/>
      </w:pPr>
    </w:lvl>
    <w:lvl w:ilvl="2" w:tplc="040C001B" w:tentative="1">
      <w:start w:val="1"/>
      <w:numFmt w:val="lowerRoman"/>
      <w:lvlText w:val="%3."/>
      <w:lvlJc w:val="right"/>
      <w:pPr>
        <w:ind w:left="3305" w:hanging="180"/>
      </w:pPr>
    </w:lvl>
    <w:lvl w:ilvl="3" w:tplc="040C000F" w:tentative="1">
      <w:start w:val="1"/>
      <w:numFmt w:val="decimal"/>
      <w:lvlText w:val="%4."/>
      <w:lvlJc w:val="left"/>
      <w:pPr>
        <w:ind w:left="4025" w:hanging="360"/>
      </w:pPr>
    </w:lvl>
    <w:lvl w:ilvl="4" w:tplc="040C0019" w:tentative="1">
      <w:start w:val="1"/>
      <w:numFmt w:val="lowerLetter"/>
      <w:lvlText w:val="%5."/>
      <w:lvlJc w:val="left"/>
      <w:pPr>
        <w:ind w:left="4745" w:hanging="360"/>
      </w:pPr>
    </w:lvl>
    <w:lvl w:ilvl="5" w:tplc="040C001B" w:tentative="1">
      <w:start w:val="1"/>
      <w:numFmt w:val="lowerRoman"/>
      <w:lvlText w:val="%6."/>
      <w:lvlJc w:val="right"/>
      <w:pPr>
        <w:ind w:left="5465" w:hanging="180"/>
      </w:pPr>
    </w:lvl>
    <w:lvl w:ilvl="6" w:tplc="040C000F" w:tentative="1">
      <w:start w:val="1"/>
      <w:numFmt w:val="decimal"/>
      <w:lvlText w:val="%7."/>
      <w:lvlJc w:val="left"/>
      <w:pPr>
        <w:ind w:left="6185" w:hanging="360"/>
      </w:pPr>
    </w:lvl>
    <w:lvl w:ilvl="7" w:tplc="040C0019" w:tentative="1">
      <w:start w:val="1"/>
      <w:numFmt w:val="lowerLetter"/>
      <w:lvlText w:val="%8."/>
      <w:lvlJc w:val="left"/>
      <w:pPr>
        <w:ind w:left="6905" w:hanging="360"/>
      </w:pPr>
    </w:lvl>
    <w:lvl w:ilvl="8" w:tplc="040C001B" w:tentative="1">
      <w:start w:val="1"/>
      <w:numFmt w:val="lowerRoman"/>
      <w:lvlText w:val="%9."/>
      <w:lvlJc w:val="right"/>
      <w:pPr>
        <w:ind w:left="7625" w:hanging="180"/>
      </w:pPr>
    </w:lvl>
  </w:abstractNum>
  <w:abstractNum w:abstractNumId="18" w15:restartNumberingAfterBreak="0">
    <w:nsid w:val="677666E3"/>
    <w:multiLevelType w:val="hybridMultilevel"/>
    <w:tmpl w:val="ACEC7686"/>
    <w:lvl w:ilvl="0" w:tplc="52969C58">
      <w:numFmt w:val="bullet"/>
      <w:lvlText w:val="-"/>
      <w:lvlJc w:val="left"/>
      <w:pPr>
        <w:ind w:left="1146" w:hanging="360"/>
      </w:pPr>
      <w:rPr>
        <w:rFonts w:ascii="Cambria" w:eastAsia="Cambria" w:hAnsi="Cambria" w:cs="Cambria" w:hint="default"/>
        <w:b w:val="0"/>
        <w:bCs w:val="0"/>
        <w:i w:val="0"/>
        <w:iCs w:val="0"/>
        <w:spacing w:val="0"/>
        <w:w w:val="100"/>
        <w:sz w:val="24"/>
        <w:szCs w:val="24"/>
        <w:lang w:val="fr-FR" w:eastAsia="en-US" w:bidi="ar-SA"/>
      </w:rPr>
    </w:lvl>
    <w:lvl w:ilvl="1" w:tplc="593CBF88">
      <w:numFmt w:val="bullet"/>
      <w:lvlText w:val="•"/>
      <w:lvlJc w:val="left"/>
      <w:pPr>
        <w:ind w:left="2060" w:hanging="360"/>
      </w:pPr>
      <w:rPr>
        <w:rFonts w:hint="default"/>
        <w:lang w:val="fr-FR" w:eastAsia="en-US" w:bidi="ar-SA"/>
      </w:rPr>
    </w:lvl>
    <w:lvl w:ilvl="2" w:tplc="40E4E588">
      <w:numFmt w:val="bullet"/>
      <w:lvlText w:val="•"/>
      <w:lvlJc w:val="left"/>
      <w:pPr>
        <w:ind w:left="2981" w:hanging="360"/>
      </w:pPr>
      <w:rPr>
        <w:rFonts w:hint="default"/>
        <w:lang w:val="fr-FR" w:eastAsia="en-US" w:bidi="ar-SA"/>
      </w:rPr>
    </w:lvl>
    <w:lvl w:ilvl="3" w:tplc="119A9DAE">
      <w:numFmt w:val="bullet"/>
      <w:lvlText w:val="•"/>
      <w:lvlJc w:val="left"/>
      <w:pPr>
        <w:ind w:left="3902" w:hanging="360"/>
      </w:pPr>
      <w:rPr>
        <w:rFonts w:hint="default"/>
        <w:lang w:val="fr-FR" w:eastAsia="en-US" w:bidi="ar-SA"/>
      </w:rPr>
    </w:lvl>
    <w:lvl w:ilvl="4" w:tplc="C218997A">
      <w:numFmt w:val="bullet"/>
      <w:lvlText w:val="•"/>
      <w:lvlJc w:val="left"/>
      <w:pPr>
        <w:ind w:left="4823" w:hanging="360"/>
      </w:pPr>
      <w:rPr>
        <w:rFonts w:hint="default"/>
        <w:lang w:val="fr-FR" w:eastAsia="en-US" w:bidi="ar-SA"/>
      </w:rPr>
    </w:lvl>
    <w:lvl w:ilvl="5" w:tplc="571E82F6">
      <w:numFmt w:val="bullet"/>
      <w:lvlText w:val="•"/>
      <w:lvlJc w:val="left"/>
      <w:pPr>
        <w:ind w:left="5744" w:hanging="360"/>
      </w:pPr>
      <w:rPr>
        <w:rFonts w:hint="default"/>
        <w:lang w:val="fr-FR" w:eastAsia="en-US" w:bidi="ar-SA"/>
      </w:rPr>
    </w:lvl>
    <w:lvl w:ilvl="6" w:tplc="A13C28A6">
      <w:numFmt w:val="bullet"/>
      <w:lvlText w:val="•"/>
      <w:lvlJc w:val="left"/>
      <w:pPr>
        <w:ind w:left="6665" w:hanging="360"/>
      </w:pPr>
      <w:rPr>
        <w:rFonts w:hint="default"/>
        <w:lang w:val="fr-FR" w:eastAsia="en-US" w:bidi="ar-SA"/>
      </w:rPr>
    </w:lvl>
    <w:lvl w:ilvl="7" w:tplc="E5267622">
      <w:numFmt w:val="bullet"/>
      <w:lvlText w:val="•"/>
      <w:lvlJc w:val="left"/>
      <w:pPr>
        <w:ind w:left="7585" w:hanging="360"/>
      </w:pPr>
      <w:rPr>
        <w:rFonts w:hint="default"/>
        <w:lang w:val="fr-FR" w:eastAsia="en-US" w:bidi="ar-SA"/>
      </w:rPr>
    </w:lvl>
    <w:lvl w:ilvl="8" w:tplc="530C4B6E">
      <w:numFmt w:val="bullet"/>
      <w:lvlText w:val="•"/>
      <w:lvlJc w:val="left"/>
      <w:pPr>
        <w:ind w:left="8506" w:hanging="360"/>
      </w:pPr>
      <w:rPr>
        <w:rFonts w:hint="default"/>
        <w:lang w:val="fr-FR" w:eastAsia="en-US" w:bidi="ar-SA"/>
      </w:rPr>
    </w:lvl>
  </w:abstractNum>
  <w:abstractNum w:abstractNumId="19" w15:restartNumberingAfterBreak="0">
    <w:nsid w:val="6BEA2F5E"/>
    <w:multiLevelType w:val="hybridMultilevel"/>
    <w:tmpl w:val="DCB496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C7753CD"/>
    <w:multiLevelType w:val="hybridMultilevel"/>
    <w:tmpl w:val="AD6E03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913166C"/>
    <w:multiLevelType w:val="hybridMultilevel"/>
    <w:tmpl w:val="EC9811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B9C6118"/>
    <w:multiLevelType w:val="hybridMultilevel"/>
    <w:tmpl w:val="AF5E5C44"/>
    <w:lvl w:ilvl="0" w:tplc="5C6CFD72">
      <w:start w:val="1"/>
      <w:numFmt w:val="decimal"/>
      <w:lvlText w:val="%1."/>
      <w:lvlJc w:val="left"/>
      <w:pPr>
        <w:ind w:left="1505" w:hanging="360"/>
      </w:pPr>
      <w:rPr>
        <w:rFonts w:hint="default"/>
      </w:rPr>
    </w:lvl>
    <w:lvl w:ilvl="1" w:tplc="040C0019" w:tentative="1">
      <w:start w:val="1"/>
      <w:numFmt w:val="lowerLetter"/>
      <w:lvlText w:val="%2."/>
      <w:lvlJc w:val="left"/>
      <w:pPr>
        <w:ind w:left="2225" w:hanging="360"/>
      </w:pPr>
    </w:lvl>
    <w:lvl w:ilvl="2" w:tplc="040C001B" w:tentative="1">
      <w:start w:val="1"/>
      <w:numFmt w:val="lowerRoman"/>
      <w:lvlText w:val="%3."/>
      <w:lvlJc w:val="right"/>
      <w:pPr>
        <w:ind w:left="2945" w:hanging="180"/>
      </w:pPr>
    </w:lvl>
    <w:lvl w:ilvl="3" w:tplc="040C000F" w:tentative="1">
      <w:start w:val="1"/>
      <w:numFmt w:val="decimal"/>
      <w:lvlText w:val="%4."/>
      <w:lvlJc w:val="left"/>
      <w:pPr>
        <w:ind w:left="3665" w:hanging="360"/>
      </w:pPr>
    </w:lvl>
    <w:lvl w:ilvl="4" w:tplc="040C0019" w:tentative="1">
      <w:start w:val="1"/>
      <w:numFmt w:val="lowerLetter"/>
      <w:lvlText w:val="%5."/>
      <w:lvlJc w:val="left"/>
      <w:pPr>
        <w:ind w:left="4385" w:hanging="360"/>
      </w:pPr>
    </w:lvl>
    <w:lvl w:ilvl="5" w:tplc="040C001B" w:tentative="1">
      <w:start w:val="1"/>
      <w:numFmt w:val="lowerRoman"/>
      <w:lvlText w:val="%6."/>
      <w:lvlJc w:val="right"/>
      <w:pPr>
        <w:ind w:left="5105" w:hanging="180"/>
      </w:pPr>
    </w:lvl>
    <w:lvl w:ilvl="6" w:tplc="040C000F" w:tentative="1">
      <w:start w:val="1"/>
      <w:numFmt w:val="decimal"/>
      <w:lvlText w:val="%7."/>
      <w:lvlJc w:val="left"/>
      <w:pPr>
        <w:ind w:left="5825" w:hanging="360"/>
      </w:pPr>
    </w:lvl>
    <w:lvl w:ilvl="7" w:tplc="040C0019" w:tentative="1">
      <w:start w:val="1"/>
      <w:numFmt w:val="lowerLetter"/>
      <w:lvlText w:val="%8."/>
      <w:lvlJc w:val="left"/>
      <w:pPr>
        <w:ind w:left="6545" w:hanging="360"/>
      </w:pPr>
    </w:lvl>
    <w:lvl w:ilvl="8" w:tplc="040C001B" w:tentative="1">
      <w:start w:val="1"/>
      <w:numFmt w:val="lowerRoman"/>
      <w:lvlText w:val="%9."/>
      <w:lvlJc w:val="right"/>
      <w:pPr>
        <w:ind w:left="7265" w:hanging="180"/>
      </w:pPr>
    </w:lvl>
  </w:abstractNum>
  <w:abstractNum w:abstractNumId="23" w15:restartNumberingAfterBreak="0">
    <w:nsid w:val="7FD73474"/>
    <w:multiLevelType w:val="hybridMultilevel"/>
    <w:tmpl w:val="BCB4F4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1"/>
  </w:num>
  <w:num w:numId="3">
    <w:abstractNumId w:val="12"/>
  </w:num>
  <w:num w:numId="4">
    <w:abstractNumId w:val="6"/>
  </w:num>
  <w:num w:numId="5">
    <w:abstractNumId w:val="19"/>
  </w:num>
  <w:num w:numId="6">
    <w:abstractNumId w:val="0"/>
  </w:num>
  <w:num w:numId="7">
    <w:abstractNumId w:val="11"/>
  </w:num>
  <w:num w:numId="8">
    <w:abstractNumId w:val="7"/>
  </w:num>
  <w:num w:numId="9">
    <w:abstractNumId w:val="16"/>
  </w:num>
  <w:num w:numId="10">
    <w:abstractNumId w:val="23"/>
  </w:num>
  <w:num w:numId="11">
    <w:abstractNumId w:val="8"/>
  </w:num>
  <w:num w:numId="12">
    <w:abstractNumId w:val="5"/>
  </w:num>
  <w:num w:numId="13">
    <w:abstractNumId w:val="3"/>
  </w:num>
  <w:num w:numId="14">
    <w:abstractNumId w:val="14"/>
  </w:num>
  <w:num w:numId="15">
    <w:abstractNumId w:val="20"/>
  </w:num>
  <w:num w:numId="16">
    <w:abstractNumId w:val="4"/>
  </w:num>
  <w:num w:numId="17">
    <w:abstractNumId w:val="21"/>
  </w:num>
  <w:num w:numId="18">
    <w:abstractNumId w:val="10"/>
  </w:num>
  <w:num w:numId="19">
    <w:abstractNumId w:val="2"/>
  </w:num>
  <w:num w:numId="20">
    <w:abstractNumId w:val="13"/>
  </w:num>
  <w:num w:numId="21">
    <w:abstractNumId w:val="17"/>
  </w:num>
  <w:num w:numId="22">
    <w:abstractNumId w:val="22"/>
  </w:num>
  <w:num w:numId="23">
    <w:abstractNumId w:val="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CC"/>
    <w:rsid w:val="000072B8"/>
    <w:rsid w:val="00047B53"/>
    <w:rsid w:val="00075116"/>
    <w:rsid w:val="001116B6"/>
    <w:rsid w:val="00123289"/>
    <w:rsid w:val="00127471"/>
    <w:rsid w:val="00150492"/>
    <w:rsid w:val="00153B5C"/>
    <w:rsid w:val="00196E06"/>
    <w:rsid w:val="001C6AB5"/>
    <w:rsid w:val="001C6E6A"/>
    <w:rsid w:val="00230DEB"/>
    <w:rsid w:val="00231908"/>
    <w:rsid w:val="002601F3"/>
    <w:rsid w:val="00276648"/>
    <w:rsid w:val="002A2DA6"/>
    <w:rsid w:val="002A4170"/>
    <w:rsid w:val="002B0E71"/>
    <w:rsid w:val="002C67AC"/>
    <w:rsid w:val="003807C4"/>
    <w:rsid w:val="003C0389"/>
    <w:rsid w:val="003F6DD5"/>
    <w:rsid w:val="00447F42"/>
    <w:rsid w:val="00474AAE"/>
    <w:rsid w:val="004772DE"/>
    <w:rsid w:val="00495FD8"/>
    <w:rsid w:val="004A54CC"/>
    <w:rsid w:val="004F7DB6"/>
    <w:rsid w:val="00515BC3"/>
    <w:rsid w:val="005275F5"/>
    <w:rsid w:val="00530757"/>
    <w:rsid w:val="005312DE"/>
    <w:rsid w:val="0054765B"/>
    <w:rsid w:val="00565637"/>
    <w:rsid w:val="0060190A"/>
    <w:rsid w:val="00603949"/>
    <w:rsid w:val="00610C11"/>
    <w:rsid w:val="00623A65"/>
    <w:rsid w:val="0062718C"/>
    <w:rsid w:val="006F19D6"/>
    <w:rsid w:val="00725764"/>
    <w:rsid w:val="00752419"/>
    <w:rsid w:val="00787964"/>
    <w:rsid w:val="00791F7D"/>
    <w:rsid w:val="007C5985"/>
    <w:rsid w:val="0085645C"/>
    <w:rsid w:val="008E2752"/>
    <w:rsid w:val="008E536C"/>
    <w:rsid w:val="008F0135"/>
    <w:rsid w:val="00906A4C"/>
    <w:rsid w:val="00931690"/>
    <w:rsid w:val="00965AE4"/>
    <w:rsid w:val="009721CD"/>
    <w:rsid w:val="009E68A3"/>
    <w:rsid w:val="009F339E"/>
    <w:rsid w:val="00A2383C"/>
    <w:rsid w:val="00A45EC9"/>
    <w:rsid w:val="00B0688B"/>
    <w:rsid w:val="00B11C2F"/>
    <w:rsid w:val="00B45BAC"/>
    <w:rsid w:val="00B545EE"/>
    <w:rsid w:val="00B7219C"/>
    <w:rsid w:val="00B917CD"/>
    <w:rsid w:val="00BB5A06"/>
    <w:rsid w:val="00C91422"/>
    <w:rsid w:val="00C92E5C"/>
    <w:rsid w:val="00D61A31"/>
    <w:rsid w:val="00D6206D"/>
    <w:rsid w:val="00D65361"/>
    <w:rsid w:val="00D75350"/>
    <w:rsid w:val="00DE06F5"/>
    <w:rsid w:val="00DE6293"/>
    <w:rsid w:val="00DF5684"/>
    <w:rsid w:val="00E05EE5"/>
    <w:rsid w:val="00E503AE"/>
    <w:rsid w:val="00E53EB6"/>
    <w:rsid w:val="00E65DF4"/>
    <w:rsid w:val="00E746B5"/>
    <w:rsid w:val="00E942CD"/>
    <w:rsid w:val="00EF7FEC"/>
    <w:rsid w:val="00F45517"/>
    <w:rsid w:val="00F542BB"/>
    <w:rsid w:val="00F63847"/>
    <w:rsid w:val="00F71761"/>
    <w:rsid w:val="00FA7279"/>
    <w:rsid w:val="00FD1386"/>
    <w:rsid w:val="00FD798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26938"/>
  <w15:docId w15:val="{3E42F106-7463-4DB8-BA3F-3F3134483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ind w:left="1145"/>
      <w:outlineLvl w:val="0"/>
    </w:pPr>
    <w:rPr>
      <w:b/>
      <w:bCs/>
      <w:sz w:val="24"/>
      <w:szCs w:val="24"/>
    </w:rPr>
  </w:style>
  <w:style w:type="paragraph" w:styleId="Titre2">
    <w:name w:val="heading 2"/>
    <w:next w:val="Normal"/>
    <w:link w:val="Titre2Car"/>
    <w:uiPriority w:val="9"/>
    <w:unhideWhenUsed/>
    <w:qFormat/>
    <w:rsid w:val="00931690"/>
    <w:pPr>
      <w:keepNext/>
      <w:keepLines/>
      <w:widowControl/>
      <w:autoSpaceDE/>
      <w:autoSpaceDN/>
      <w:spacing w:after="214" w:line="259" w:lineRule="auto"/>
      <w:ind w:left="23" w:right="494" w:hanging="10"/>
      <w:outlineLvl w:val="1"/>
    </w:pPr>
    <w:rPr>
      <w:rFonts w:ascii="Calibri" w:eastAsia="Calibri" w:hAnsi="Calibri" w:cs="Calibri"/>
      <w:b/>
      <w:color w:val="000000"/>
      <w:lang w:val="fr-FR" w:eastAsia="fr-FR"/>
    </w:rPr>
  </w:style>
  <w:style w:type="paragraph" w:styleId="Titre3">
    <w:name w:val="heading 3"/>
    <w:basedOn w:val="Normal"/>
    <w:next w:val="Normal"/>
    <w:link w:val="Titre3Car"/>
    <w:uiPriority w:val="9"/>
    <w:semiHidden/>
    <w:unhideWhenUsed/>
    <w:qFormat/>
    <w:rsid w:val="00931690"/>
    <w:pPr>
      <w:keepNext/>
      <w:keepLines/>
      <w:widowControl/>
      <w:autoSpaceDE/>
      <w:autoSpaceDN/>
      <w:spacing w:before="40" w:line="264" w:lineRule="auto"/>
      <w:ind w:firstLine="218"/>
      <w:jc w:val="both"/>
      <w:outlineLvl w:val="2"/>
    </w:pPr>
    <w:rPr>
      <w:rFonts w:asciiTheme="majorHAnsi" w:eastAsiaTheme="majorEastAsia" w:hAnsiTheme="majorHAnsi" w:cstheme="majorBidi"/>
      <w:color w:val="243F60" w:themeColor="accent1" w:themeShade="7F"/>
      <w:sz w:val="24"/>
      <w:szCs w:val="24"/>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31690"/>
    <w:rPr>
      <w:rFonts w:ascii="Calibri" w:eastAsia="Calibri" w:hAnsi="Calibri" w:cs="Calibri"/>
      <w:b/>
      <w:color w:val="000000"/>
      <w:lang w:val="fr-FR" w:eastAsia="fr-FR"/>
    </w:rPr>
  </w:style>
  <w:style w:type="character" w:customStyle="1" w:styleId="Titre3Car">
    <w:name w:val="Titre 3 Car"/>
    <w:basedOn w:val="Policepardfaut"/>
    <w:link w:val="Titre3"/>
    <w:uiPriority w:val="9"/>
    <w:semiHidden/>
    <w:rsid w:val="00931690"/>
    <w:rPr>
      <w:rFonts w:asciiTheme="majorHAnsi" w:eastAsiaTheme="majorEastAsia" w:hAnsiTheme="majorHAnsi" w:cstheme="majorBidi"/>
      <w:color w:val="243F60" w:themeColor="accent1" w:themeShade="7F"/>
      <w:sz w:val="24"/>
      <w:szCs w:val="24"/>
      <w:lang w:eastAsia="fr-FR"/>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24"/>
      <w:szCs w:val="24"/>
    </w:rPr>
  </w:style>
  <w:style w:type="character" w:customStyle="1" w:styleId="CorpsdetexteCar">
    <w:name w:val="Corps de texte Car"/>
    <w:basedOn w:val="Policepardfaut"/>
    <w:link w:val="Corpsdetexte"/>
    <w:uiPriority w:val="1"/>
    <w:rsid w:val="00FD1386"/>
    <w:rPr>
      <w:rFonts w:ascii="Times New Roman" w:eastAsia="Times New Roman" w:hAnsi="Times New Roman" w:cs="Times New Roman"/>
      <w:sz w:val="24"/>
      <w:szCs w:val="24"/>
      <w:lang w:val="fr-FR"/>
    </w:rPr>
  </w:style>
  <w:style w:type="paragraph" w:styleId="Titre">
    <w:name w:val="Title"/>
    <w:basedOn w:val="Normal"/>
    <w:uiPriority w:val="10"/>
    <w:qFormat/>
    <w:pPr>
      <w:ind w:left="479" w:right="908"/>
      <w:jc w:val="center"/>
    </w:pPr>
    <w:rPr>
      <w:b/>
      <w:bCs/>
      <w:sz w:val="32"/>
      <w:szCs w:val="32"/>
    </w:rPr>
  </w:style>
  <w:style w:type="paragraph" w:styleId="Paragraphedeliste">
    <w:name w:val="List Paragraph"/>
    <w:basedOn w:val="Normal"/>
    <w:link w:val="ParagraphedelisteCar"/>
    <w:uiPriority w:val="34"/>
    <w:qFormat/>
    <w:pPr>
      <w:ind w:left="1145" w:hanging="359"/>
    </w:pPr>
  </w:style>
  <w:style w:type="character" w:customStyle="1" w:styleId="ParagraphedelisteCar">
    <w:name w:val="Paragraphe de liste Car"/>
    <w:link w:val="Paragraphedeliste"/>
    <w:uiPriority w:val="34"/>
    <w:rsid w:val="00931690"/>
    <w:rPr>
      <w:rFonts w:ascii="Times New Roman" w:eastAsia="Times New Roman" w:hAnsi="Times New Roman" w:cs="Times New Roman"/>
      <w:lang w:val="fr-FR"/>
    </w:rPr>
  </w:style>
  <w:style w:type="paragraph" w:customStyle="1" w:styleId="TableParagraph">
    <w:name w:val="Table Paragraph"/>
    <w:basedOn w:val="Normal"/>
    <w:uiPriority w:val="1"/>
    <w:qFormat/>
    <w:pPr>
      <w:jc w:val="center"/>
    </w:pPr>
    <w:rPr>
      <w:rFonts w:ascii="Arial MT" w:eastAsia="Arial MT" w:hAnsi="Arial MT" w:cs="Arial MT"/>
    </w:rPr>
  </w:style>
  <w:style w:type="paragraph" w:styleId="En-tte">
    <w:name w:val="header"/>
    <w:basedOn w:val="Normal"/>
    <w:link w:val="En-tteCar"/>
    <w:uiPriority w:val="99"/>
    <w:unhideWhenUsed/>
    <w:rsid w:val="00E05EE5"/>
    <w:pPr>
      <w:tabs>
        <w:tab w:val="center" w:pos="4536"/>
        <w:tab w:val="right" w:pos="9072"/>
      </w:tabs>
    </w:pPr>
  </w:style>
  <w:style w:type="character" w:customStyle="1" w:styleId="En-tteCar">
    <w:name w:val="En-tête Car"/>
    <w:basedOn w:val="Policepardfaut"/>
    <w:link w:val="En-tte"/>
    <w:uiPriority w:val="99"/>
    <w:rsid w:val="00E05EE5"/>
    <w:rPr>
      <w:rFonts w:ascii="Times New Roman" w:eastAsia="Times New Roman" w:hAnsi="Times New Roman" w:cs="Times New Roman"/>
      <w:lang w:val="fr-FR"/>
    </w:rPr>
  </w:style>
  <w:style w:type="paragraph" w:styleId="Pieddepage">
    <w:name w:val="footer"/>
    <w:basedOn w:val="Normal"/>
    <w:link w:val="PieddepageCar"/>
    <w:uiPriority w:val="99"/>
    <w:unhideWhenUsed/>
    <w:rsid w:val="00E05EE5"/>
    <w:pPr>
      <w:tabs>
        <w:tab w:val="center" w:pos="4536"/>
        <w:tab w:val="right" w:pos="9072"/>
      </w:tabs>
    </w:pPr>
  </w:style>
  <w:style w:type="character" w:customStyle="1" w:styleId="PieddepageCar">
    <w:name w:val="Pied de page Car"/>
    <w:basedOn w:val="Policepardfaut"/>
    <w:link w:val="Pieddepage"/>
    <w:uiPriority w:val="99"/>
    <w:rsid w:val="00E05EE5"/>
    <w:rPr>
      <w:rFonts w:ascii="Times New Roman" w:eastAsia="Times New Roman" w:hAnsi="Times New Roman" w:cs="Times New Roman"/>
      <w:lang w:val="fr-FR"/>
    </w:rPr>
  </w:style>
  <w:style w:type="table" w:styleId="Grilledutableau">
    <w:name w:val="Table Grid"/>
    <w:basedOn w:val="TableauNormal"/>
    <w:uiPriority w:val="59"/>
    <w:rsid w:val="00931690"/>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99"/>
    <w:unhideWhenUsed/>
    <w:qFormat/>
    <w:rsid w:val="00931690"/>
    <w:pPr>
      <w:widowControl/>
      <w:autoSpaceDE/>
      <w:autoSpaceDN/>
      <w:spacing w:after="200"/>
      <w:jc w:val="center"/>
    </w:pPr>
    <w:rPr>
      <w:rFonts w:eastAsiaTheme="minorHAnsi" w:cstheme="minorBidi"/>
      <w:b/>
      <w:iCs/>
      <w:sz w:val="24"/>
      <w:szCs w:val="18"/>
      <w:lang w:val="en-US"/>
    </w:rPr>
  </w:style>
  <w:style w:type="table" w:customStyle="1" w:styleId="TableGrid">
    <w:name w:val="TableGrid"/>
    <w:rsid w:val="00931690"/>
    <w:pPr>
      <w:widowControl/>
      <w:autoSpaceDE/>
      <w:autoSpaceDN/>
    </w:pPr>
    <w:rPr>
      <w:rFonts w:eastAsiaTheme="minorEastAsia"/>
      <w:lang w:val="fr-FR" w:eastAsia="fr-FR"/>
    </w:rPr>
    <w:tblPr>
      <w:tblCellMar>
        <w:top w:w="0" w:type="dxa"/>
        <w:left w:w="0" w:type="dxa"/>
        <w:bottom w:w="0" w:type="dxa"/>
        <w:right w:w="0" w:type="dxa"/>
      </w:tblCellMar>
    </w:tblPr>
  </w:style>
  <w:style w:type="character" w:styleId="Lienhypertexte">
    <w:name w:val="Hyperlink"/>
    <w:basedOn w:val="Policepardfaut"/>
    <w:uiPriority w:val="99"/>
    <w:unhideWhenUsed/>
    <w:rsid w:val="00931690"/>
    <w:rPr>
      <w:color w:val="0000FF" w:themeColor="hyperlink"/>
      <w:u w:val="single"/>
    </w:rPr>
  </w:style>
  <w:style w:type="paragraph" w:styleId="NormalWeb">
    <w:name w:val="Normal (Web)"/>
    <w:basedOn w:val="Normal"/>
    <w:uiPriority w:val="99"/>
    <w:unhideWhenUsed/>
    <w:rsid w:val="00931690"/>
    <w:pPr>
      <w:widowControl/>
      <w:autoSpaceDE/>
      <w:autoSpaceDN/>
      <w:spacing w:before="100" w:beforeAutospacing="1" w:after="100" w:afterAutospacing="1"/>
    </w:pPr>
    <w:rPr>
      <w:sz w:val="24"/>
      <w:szCs w:val="24"/>
      <w:lang w:val="en-US" w:eastAsia="fr-FR"/>
    </w:rPr>
  </w:style>
  <w:style w:type="character" w:customStyle="1" w:styleId="z-HautduformulaireCar">
    <w:name w:val="z-Haut du formulaire Car"/>
    <w:basedOn w:val="Policepardfaut"/>
    <w:link w:val="z-Hautduformulaire"/>
    <w:uiPriority w:val="99"/>
    <w:semiHidden/>
    <w:rsid w:val="00931690"/>
    <w:rPr>
      <w:rFonts w:ascii="Arial" w:eastAsia="Times New Roman" w:hAnsi="Arial" w:cs="Arial"/>
      <w:vanish/>
      <w:sz w:val="16"/>
      <w:szCs w:val="16"/>
      <w:lang w:eastAsia="fr-FR"/>
    </w:rPr>
  </w:style>
  <w:style w:type="paragraph" w:styleId="z-Hautduformulaire">
    <w:name w:val="HTML Top of Form"/>
    <w:basedOn w:val="Normal"/>
    <w:next w:val="Normal"/>
    <w:link w:val="z-HautduformulaireCar"/>
    <w:hidden/>
    <w:uiPriority w:val="99"/>
    <w:semiHidden/>
    <w:unhideWhenUsed/>
    <w:rsid w:val="00931690"/>
    <w:pPr>
      <w:widowControl/>
      <w:pBdr>
        <w:bottom w:val="single" w:sz="6" w:space="1" w:color="auto"/>
      </w:pBdr>
      <w:autoSpaceDE/>
      <w:autoSpaceDN/>
      <w:jc w:val="center"/>
    </w:pPr>
    <w:rPr>
      <w:rFonts w:ascii="Arial" w:hAnsi="Arial" w:cs="Arial"/>
      <w:vanish/>
      <w:sz w:val="16"/>
      <w:szCs w:val="16"/>
      <w:lang w:val="en-US" w:eastAsia="fr-FR"/>
    </w:rPr>
  </w:style>
  <w:style w:type="character" w:customStyle="1" w:styleId="NotedebasdepageCar">
    <w:name w:val="Note de bas de page Car"/>
    <w:basedOn w:val="Policepardfaut"/>
    <w:link w:val="Notedebasdepage"/>
    <w:uiPriority w:val="99"/>
    <w:semiHidden/>
    <w:rsid w:val="00931690"/>
    <w:rPr>
      <w:rFonts w:ascii="Times New Roman" w:eastAsia="Times New Roman" w:hAnsi="Times New Roman" w:cs="Times New Roman"/>
      <w:color w:val="000000"/>
      <w:sz w:val="20"/>
      <w:szCs w:val="20"/>
      <w:lang w:eastAsia="fr-FR"/>
    </w:rPr>
  </w:style>
  <w:style w:type="paragraph" w:styleId="Notedebasdepage">
    <w:name w:val="footnote text"/>
    <w:basedOn w:val="Normal"/>
    <w:link w:val="NotedebasdepageCar"/>
    <w:uiPriority w:val="99"/>
    <w:semiHidden/>
    <w:unhideWhenUsed/>
    <w:rsid w:val="00931690"/>
    <w:pPr>
      <w:widowControl/>
      <w:autoSpaceDE/>
      <w:autoSpaceDN/>
      <w:ind w:firstLine="218"/>
      <w:jc w:val="both"/>
    </w:pPr>
    <w:rPr>
      <w:color w:val="000000"/>
      <w:sz w:val="20"/>
      <w:szCs w:val="20"/>
      <w:lang w:val="en-US" w:eastAsia="fr-FR"/>
    </w:rPr>
  </w:style>
  <w:style w:type="character" w:customStyle="1" w:styleId="TextedebullesCar">
    <w:name w:val="Texte de bulles Car"/>
    <w:basedOn w:val="Policepardfaut"/>
    <w:link w:val="Textedebulles"/>
    <w:uiPriority w:val="99"/>
    <w:semiHidden/>
    <w:rsid w:val="00931690"/>
    <w:rPr>
      <w:rFonts w:ascii="Tahoma" w:eastAsia="Times New Roman" w:hAnsi="Tahoma" w:cs="Tahoma"/>
      <w:color w:val="000000"/>
      <w:sz w:val="16"/>
      <w:szCs w:val="16"/>
      <w:lang w:eastAsia="fr-FR"/>
    </w:rPr>
  </w:style>
  <w:style w:type="paragraph" w:styleId="Textedebulles">
    <w:name w:val="Balloon Text"/>
    <w:basedOn w:val="Normal"/>
    <w:link w:val="TextedebullesCar"/>
    <w:uiPriority w:val="99"/>
    <w:semiHidden/>
    <w:unhideWhenUsed/>
    <w:rsid w:val="00931690"/>
    <w:pPr>
      <w:widowControl/>
      <w:autoSpaceDE/>
      <w:autoSpaceDN/>
      <w:ind w:firstLine="218"/>
      <w:jc w:val="both"/>
    </w:pPr>
    <w:rPr>
      <w:rFonts w:ascii="Tahoma" w:hAnsi="Tahoma" w:cs="Tahoma"/>
      <w:color w:val="000000"/>
      <w:sz w:val="16"/>
      <w:szCs w:val="16"/>
      <w:lang w:val="en-US" w:eastAsia="fr-FR"/>
    </w:rPr>
  </w:style>
  <w:style w:type="character" w:customStyle="1" w:styleId="CommentaireCar">
    <w:name w:val="Commentaire Car"/>
    <w:basedOn w:val="Policepardfaut"/>
    <w:link w:val="Commentaire"/>
    <w:uiPriority w:val="99"/>
    <w:semiHidden/>
    <w:rsid w:val="00931690"/>
    <w:rPr>
      <w:rFonts w:ascii="Times New Roman" w:eastAsia="Times New Roman" w:hAnsi="Times New Roman" w:cs="Times New Roman"/>
      <w:color w:val="000000"/>
      <w:sz w:val="20"/>
      <w:szCs w:val="20"/>
      <w:lang w:eastAsia="fr-FR"/>
    </w:rPr>
  </w:style>
  <w:style w:type="paragraph" w:styleId="Commentaire">
    <w:name w:val="annotation text"/>
    <w:basedOn w:val="Normal"/>
    <w:link w:val="CommentaireCar"/>
    <w:uiPriority w:val="99"/>
    <w:semiHidden/>
    <w:unhideWhenUsed/>
    <w:rsid w:val="00931690"/>
    <w:pPr>
      <w:widowControl/>
      <w:autoSpaceDE/>
      <w:autoSpaceDN/>
      <w:spacing w:after="3"/>
      <w:ind w:firstLine="218"/>
      <w:jc w:val="both"/>
    </w:pPr>
    <w:rPr>
      <w:color w:val="000000"/>
      <w:sz w:val="20"/>
      <w:szCs w:val="20"/>
      <w:lang w:val="en-US" w:eastAsia="fr-FR"/>
    </w:rPr>
  </w:style>
  <w:style w:type="character" w:customStyle="1" w:styleId="ObjetducommentaireCar">
    <w:name w:val="Objet du commentaire Car"/>
    <w:basedOn w:val="CommentaireCar"/>
    <w:link w:val="Objetducommentaire"/>
    <w:uiPriority w:val="99"/>
    <w:semiHidden/>
    <w:rsid w:val="00931690"/>
    <w:rPr>
      <w:rFonts w:ascii="Times New Roman" w:eastAsia="Times New Roman" w:hAnsi="Times New Roman" w:cs="Times New Roman"/>
      <w:b/>
      <w:bCs/>
      <w:color w:val="000000"/>
      <w:sz w:val="20"/>
      <w:szCs w:val="20"/>
      <w:lang w:eastAsia="fr-FR"/>
    </w:rPr>
  </w:style>
  <w:style w:type="paragraph" w:styleId="Objetducommentaire">
    <w:name w:val="annotation subject"/>
    <w:basedOn w:val="Commentaire"/>
    <w:next w:val="Commentaire"/>
    <w:link w:val="ObjetducommentaireCar"/>
    <w:uiPriority w:val="99"/>
    <w:semiHidden/>
    <w:unhideWhenUsed/>
    <w:rsid w:val="00931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neemltaif@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imege.com/" TargetMode="External"/><Relationship Id="rId1" Type="http://schemas.openxmlformats.org/officeDocument/2006/relationships/hyperlink" Target="http://www.rimege.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rimege.com/" TargetMode="External"/><Relationship Id="rId2" Type="http://schemas.openxmlformats.org/officeDocument/2006/relationships/hyperlink" Target="http://www.rimege.com/" TargetMode="External"/><Relationship Id="rId1" Type="http://schemas.openxmlformats.org/officeDocument/2006/relationships/hyperlink" Target="http://www.rimege.com/" TargetMode="External"/><Relationship Id="rId4" Type="http://schemas.openxmlformats.org/officeDocument/2006/relationships/hyperlink" Target="http://www.rime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23</Pages>
  <Words>8038</Words>
  <Characters>44212</Characters>
  <Application>Microsoft Office Word</Application>
  <DocSecurity>0</DocSecurity>
  <Lines>368</Lines>
  <Paragraphs>104</Paragraphs>
  <ScaleCrop>false</ScaleCrop>
  <HeadingPairs>
    <vt:vector size="2" baseType="variant">
      <vt:variant>
        <vt:lpstr>Titre</vt:lpstr>
      </vt:variant>
      <vt:variant>
        <vt:i4>1</vt:i4>
      </vt:variant>
    </vt:vector>
  </HeadingPairs>
  <TitlesOfParts>
    <vt:vector size="1" baseType="lpstr">
      <vt:lpstr>INTITULE DE L’ARTICLE AU MAJUSCULE, CALIBRI 12, CENTRE, INTERLIGNE SIMPLE</vt:lpstr>
    </vt:vector>
  </TitlesOfParts>
  <Company/>
  <LinksUpToDate>false</LinksUpToDate>
  <CharactersWithSpaces>52146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INTITULE DE L’ARTICLE AU MAJUSCULE, CALIBRI 12, CENTRE, INTERLIGNE SIMPLE</dc:title>
  <dc:creator>HP</dc:creator>
  <cp:lastModifiedBy>user</cp:lastModifiedBy>
  <cp:revision>12</cp:revision>
  <dcterms:created xsi:type="dcterms:W3CDTF">2025-12-28T13:49:00Z</dcterms:created>
  <dcterms:modified xsi:type="dcterms:W3CDTF">2025-12-29T11:14:00Z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2022-02-09T00:00:00Z</vt:filetime>
  </property>
  <property fmtid="{D5CDD505-2E9C-101B-9397-08002B2CF9AE}" pid="3" name="Creator">
    <vt:lpwstr>Microsoft® Word 2016</vt:lpwstr>
  </property>
  <property fmtid="{D5CDD505-2E9C-101B-9397-08002B2CF9AE}" pid="4" name="LastSaved">
    <vt:filetime>2025-12-28T00:00:00Z</vt:filetime>
  </property>
  <property fmtid="{D5CDD505-2E9C-101B-9397-08002B2CF9AE}" pid="5" name="Producer">
    <vt:lpwstr>Microsoft® Word 2016</vt:lpwstr>
  </property>
  <property fmtid="{D5CDD505-2E9C-101B-9397-08002B2CF9AE}" pid="6" name="GrammarlyDocumentId">
    <vt:lpwstr>21bc3649-11a8-456a-87f4-60022e24be91</vt:lpwstr>
  </property>
</Properties>
</file>